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EA" w:rsidRDefault="00FE59EA" w:rsidP="001C66B5"/>
    <w:p w:rsidR="00AC164D" w:rsidRDefault="00AC164D" w:rsidP="00AC164D">
      <w:pPr>
        <w:pStyle w:val="NormaleWeb"/>
        <w:jc w:val="center"/>
      </w:pPr>
      <w:r>
        <w:rPr>
          <w:rStyle w:val="Enfasigrassetto"/>
        </w:rPr>
        <w:t>Allegato 5</w:t>
      </w:r>
      <w:r>
        <w:rPr>
          <w:b/>
          <w:bCs/>
        </w:rPr>
        <w:br/>
      </w:r>
      <w:r>
        <w:rPr>
          <w:rStyle w:val="Enfasigrassetto"/>
        </w:rPr>
        <w:t>SCHEMA PUNTEGGI</w:t>
      </w:r>
    </w:p>
    <w:p w:rsidR="00AC164D" w:rsidRDefault="00AC164D" w:rsidP="008D1C7B">
      <w:pPr>
        <w:pStyle w:val="NormaleWeb"/>
      </w:pPr>
      <w:r>
        <w:t> I punteggi dovranno essere attribuiti sulla base dei criteri sotto elencati, sia relativamente al merito</w:t>
      </w:r>
    </w:p>
    <w:p w:rsidR="00AC164D" w:rsidRDefault="00AC164D" w:rsidP="00AC164D">
      <w:pPr>
        <w:pStyle w:val="NormaleWeb"/>
        <w:jc w:val="both"/>
      </w:pPr>
      <w:r>
        <w:t>tecnico che economico.</w:t>
      </w:r>
    </w:p>
    <w:p w:rsidR="00AC164D" w:rsidRDefault="00AC164D" w:rsidP="008D1C7B">
      <w:pPr>
        <w:pStyle w:val="NormaleWeb"/>
        <w:jc w:val="both"/>
      </w:pPr>
      <w:r>
        <w:t xml:space="preserve">La somma dei punteggi inerenti l’offerta tecnica e l’offerta economica </w:t>
      </w:r>
      <w:r>
        <w:rPr>
          <w:u w:val="single"/>
        </w:rPr>
        <w:t>deve essere sempre pari</w:t>
      </w:r>
      <w:r>
        <w:t xml:space="preserve"> a 100. </w:t>
      </w:r>
    </w:p>
    <w:tbl>
      <w:tblPr>
        <w:tblW w:w="0" w:type="auto"/>
        <w:tblCellSpacing w:w="0" w:type="dxa"/>
        <w:tblCellMar>
          <w:left w:w="0" w:type="dxa"/>
          <w:right w:w="0" w:type="dxa"/>
        </w:tblCellMar>
        <w:tblLook w:val="04A0"/>
      </w:tblPr>
      <w:tblGrid>
        <w:gridCol w:w="3540"/>
        <w:gridCol w:w="1872"/>
        <w:gridCol w:w="1848"/>
      </w:tblGrid>
      <w:tr w:rsidR="00AC164D" w:rsidTr="00AC164D">
        <w:trPr>
          <w:tblCellSpacing w:w="0" w:type="dxa"/>
        </w:trPr>
        <w:tc>
          <w:tcPr>
            <w:tcW w:w="3540" w:type="dxa"/>
            <w:vMerge w:val="restart"/>
            <w:vAlign w:val="center"/>
            <w:hideMark/>
          </w:tcPr>
          <w:p w:rsidR="00AC164D" w:rsidRDefault="00AC164D">
            <w:pPr>
              <w:pStyle w:val="NormaleWeb"/>
              <w:rPr>
                <w:sz w:val="22"/>
                <w:szCs w:val="22"/>
                <w:lang w:eastAsia="en-US"/>
              </w:rPr>
            </w:pPr>
            <w:r>
              <w:rPr>
                <w:rStyle w:val="Enfasigrassetto"/>
                <w:sz w:val="22"/>
                <w:szCs w:val="22"/>
                <w:lang w:eastAsia="en-US"/>
              </w:rPr>
              <w:t>Criteri di valutazione</w:t>
            </w:r>
          </w:p>
        </w:tc>
        <w:tc>
          <w:tcPr>
            <w:tcW w:w="3720" w:type="dxa"/>
            <w:gridSpan w:val="2"/>
            <w:vAlign w:val="center"/>
            <w:hideMark/>
          </w:tcPr>
          <w:p w:rsidR="00AC164D" w:rsidRDefault="00AC164D">
            <w:pPr>
              <w:pStyle w:val="NormaleWeb"/>
              <w:jc w:val="center"/>
              <w:rPr>
                <w:sz w:val="22"/>
                <w:szCs w:val="22"/>
                <w:lang w:eastAsia="en-US"/>
              </w:rPr>
            </w:pPr>
            <w:proofErr w:type="spellStart"/>
            <w:r>
              <w:rPr>
                <w:rStyle w:val="Enfasigrassetto"/>
                <w:sz w:val="22"/>
                <w:szCs w:val="22"/>
                <w:lang w:eastAsia="en-US"/>
              </w:rPr>
              <w:t>Range</w:t>
            </w:r>
            <w:proofErr w:type="spellEnd"/>
            <w:r>
              <w:rPr>
                <w:rStyle w:val="Enfasigrassetto"/>
                <w:sz w:val="22"/>
                <w:szCs w:val="22"/>
                <w:lang w:eastAsia="en-US"/>
              </w:rPr>
              <w:t xml:space="preserve"> Proposto</w:t>
            </w:r>
          </w:p>
        </w:tc>
      </w:tr>
      <w:tr w:rsidR="00AC164D" w:rsidTr="00AC164D">
        <w:trPr>
          <w:tblCellSpacing w:w="0" w:type="dxa"/>
        </w:trPr>
        <w:tc>
          <w:tcPr>
            <w:tcW w:w="0" w:type="auto"/>
            <w:vMerge/>
            <w:vAlign w:val="center"/>
            <w:hideMark/>
          </w:tcPr>
          <w:p w:rsidR="00AC164D" w:rsidRDefault="00AC164D">
            <w:pPr>
              <w:rPr>
                <w:sz w:val="22"/>
                <w:szCs w:val="22"/>
                <w:lang w:eastAsia="en-US"/>
              </w:rPr>
            </w:pPr>
          </w:p>
        </w:tc>
        <w:tc>
          <w:tcPr>
            <w:tcW w:w="1872" w:type="dxa"/>
            <w:vAlign w:val="center"/>
            <w:hideMark/>
          </w:tcPr>
          <w:p w:rsidR="00AC164D" w:rsidRDefault="00AC164D">
            <w:pPr>
              <w:pStyle w:val="NormaleWeb"/>
              <w:jc w:val="center"/>
              <w:rPr>
                <w:sz w:val="22"/>
                <w:szCs w:val="22"/>
                <w:lang w:eastAsia="en-US"/>
              </w:rPr>
            </w:pPr>
            <w:r>
              <w:rPr>
                <w:rStyle w:val="Enfasicorsivo"/>
                <w:b/>
                <w:bCs/>
                <w:sz w:val="22"/>
                <w:szCs w:val="22"/>
                <w:lang w:eastAsia="en-US"/>
              </w:rPr>
              <w:t>da</w:t>
            </w:r>
          </w:p>
        </w:tc>
        <w:tc>
          <w:tcPr>
            <w:tcW w:w="1848" w:type="dxa"/>
            <w:vAlign w:val="center"/>
            <w:hideMark/>
          </w:tcPr>
          <w:p w:rsidR="00AC164D" w:rsidRDefault="00AC164D">
            <w:pPr>
              <w:pStyle w:val="NormaleWeb"/>
              <w:jc w:val="center"/>
              <w:rPr>
                <w:sz w:val="22"/>
                <w:szCs w:val="22"/>
                <w:lang w:eastAsia="en-US"/>
              </w:rPr>
            </w:pPr>
            <w:r>
              <w:rPr>
                <w:rStyle w:val="Enfasicorsivo"/>
                <w:b/>
                <w:bCs/>
                <w:sz w:val="22"/>
                <w:szCs w:val="22"/>
                <w:lang w:eastAsia="en-US"/>
              </w:rPr>
              <w:t>A</w:t>
            </w:r>
          </w:p>
        </w:tc>
      </w:tr>
      <w:tr w:rsidR="00AC164D" w:rsidTr="00AC164D">
        <w:trPr>
          <w:tblCellSpacing w:w="0" w:type="dxa"/>
        </w:trPr>
        <w:tc>
          <w:tcPr>
            <w:tcW w:w="3540" w:type="dxa"/>
            <w:vAlign w:val="center"/>
            <w:hideMark/>
          </w:tcPr>
          <w:p w:rsidR="00AC164D" w:rsidRDefault="00AC164D">
            <w:pPr>
              <w:pStyle w:val="NormaleWeb"/>
              <w:rPr>
                <w:sz w:val="22"/>
                <w:szCs w:val="22"/>
                <w:lang w:eastAsia="en-US"/>
              </w:rPr>
            </w:pPr>
            <w:r>
              <w:rPr>
                <w:rStyle w:val="Enfasicorsivo"/>
                <w:sz w:val="22"/>
                <w:szCs w:val="22"/>
                <w:lang w:eastAsia="en-US"/>
              </w:rPr>
              <w:t>Offerta Tecnica (tabella A)</w:t>
            </w:r>
          </w:p>
        </w:tc>
        <w:tc>
          <w:tcPr>
            <w:tcW w:w="1872" w:type="dxa"/>
            <w:vAlign w:val="center"/>
            <w:hideMark/>
          </w:tcPr>
          <w:p w:rsidR="00AC164D" w:rsidRDefault="00AC164D">
            <w:pPr>
              <w:pStyle w:val="NormaleWeb"/>
              <w:jc w:val="center"/>
              <w:rPr>
                <w:sz w:val="22"/>
                <w:szCs w:val="22"/>
                <w:lang w:eastAsia="en-US"/>
              </w:rPr>
            </w:pPr>
            <w:r>
              <w:rPr>
                <w:rStyle w:val="Enfasicorsivo"/>
                <w:sz w:val="22"/>
                <w:szCs w:val="22"/>
                <w:lang w:eastAsia="en-US"/>
              </w:rPr>
              <w:t>10</w:t>
            </w:r>
          </w:p>
        </w:tc>
        <w:tc>
          <w:tcPr>
            <w:tcW w:w="1848" w:type="dxa"/>
            <w:vAlign w:val="center"/>
            <w:hideMark/>
          </w:tcPr>
          <w:p w:rsidR="00AC164D" w:rsidRDefault="00AC164D">
            <w:pPr>
              <w:pStyle w:val="NormaleWeb"/>
              <w:jc w:val="center"/>
              <w:rPr>
                <w:sz w:val="22"/>
                <w:szCs w:val="22"/>
                <w:lang w:eastAsia="en-US"/>
              </w:rPr>
            </w:pPr>
            <w:r>
              <w:rPr>
                <w:rStyle w:val="Enfasicorsivo"/>
                <w:sz w:val="22"/>
                <w:szCs w:val="22"/>
                <w:lang w:eastAsia="en-US"/>
              </w:rPr>
              <w:t>15</w:t>
            </w:r>
          </w:p>
        </w:tc>
      </w:tr>
      <w:tr w:rsidR="00AC164D" w:rsidTr="00AC164D">
        <w:trPr>
          <w:tblCellSpacing w:w="0" w:type="dxa"/>
        </w:trPr>
        <w:tc>
          <w:tcPr>
            <w:tcW w:w="3540" w:type="dxa"/>
            <w:vAlign w:val="center"/>
            <w:hideMark/>
          </w:tcPr>
          <w:p w:rsidR="00AC164D" w:rsidRDefault="00AC164D">
            <w:pPr>
              <w:pStyle w:val="NormaleWeb"/>
              <w:rPr>
                <w:sz w:val="22"/>
                <w:szCs w:val="22"/>
                <w:lang w:eastAsia="en-US"/>
              </w:rPr>
            </w:pPr>
            <w:r>
              <w:rPr>
                <w:rStyle w:val="Enfasicorsivo"/>
                <w:sz w:val="22"/>
                <w:szCs w:val="22"/>
                <w:lang w:eastAsia="en-US"/>
              </w:rPr>
              <w:t>Offerta Economica (tabella B)</w:t>
            </w:r>
          </w:p>
        </w:tc>
        <w:tc>
          <w:tcPr>
            <w:tcW w:w="1872" w:type="dxa"/>
            <w:vAlign w:val="center"/>
            <w:hideMark/>
          </w:tcPr>
          <w:p w:rsidR="00AC164D" w:rsidRDefault="00AC164D">
            <w:pPr>
              <w:pStyle w:val="NormaleWeb"/>
              <w:jc w:val="center"/>
              <w:rPr>
                <w:sz w:val="22"/>
                <w:szCs w:val="22"/>
                <w:lang w:eastAsia="en-US"/>
              </w:rPr>
            </w:pPr>
            <w:r>
              <w:rPr>
                <w:rStyle w:val="Enfasicorsivo"/>
                <w:sz w:val="22"/>
                <w:szCs w:val="22"/>
                <w:lang w:eastAsia="en-US"/>
              </w:rPr>
              <w:t>90</w:t>
            </w:r>
          </w:p>
        </w:tc>
        <w:tc>
          <w:tcPr>
            <w:tcW w:w="1848" w:type="dxa"/>
            <w:vAlign w:val="center"/>
            <w:hideMark/>
          </w:tcPr>
          <w:p w:rsidR="00AC164D" w:rsidRDefault="00AC164D">
            <w:pPr>
              <w:pStyle w:val="NormaleWeb"/>
              <w:jc w:val="center"/>
              <w:rPr>
                <w:sz w:val="22"/>
                <w:szCs w:val="22"/>
                <w:lang w:eastAsia="en-US"/>
              </w:rPr>
            </w:pPr>
            <w:r>
              <w:rPr>
                <w:rStyle w:val="Enfasicorsivo"/>
                <w:sz w:val="22"/>
                <w:szCs w:val="22"/>
                <w:lang w:eastAsia="en-US"/>
              </w:rPr>
              <w:t>85</w:t>
            </w:r>
          </w:p>
        </w:tc>
      </w:tr>
      <w:tr w:rsidR="00AC164D" w:rsidTr="00AC164D">
        <w:trPr>
          <w:tblCellSpacing w:w="0" w:type="dxa"/>
        </w:trPr>
        <w:tc>
          <w:tcPr>
            <w:tcW w:w="3540" w:type="dxa"/>
            <w:vAlign w:val="center"/>
            <w:hideMark/>
          </w:tcPr>
          <w:p w:rsidR="00AC164D" w:rsidRDefault="00AC164D">
            <w:pPr>
              <w:pStyle w:val="NormaleWeb"/>
              <w:rPr>
                <w:sz w:val="22"/>
                <w:szCs w:val="22"/>
                <w:lang w:eastAsia="en-US"/>
              </w:rPr>
            </w:pPr>
            <w:r>
              <w:rPr>
                <w:rStyle w:val="Enfasigrassetto"/>
                <w:sz w:val="22"/>
                <w:szCs w:val="22"/>
                <w:lang w:eastAsia="en-US"/>
              </w:rPr>
              <w:t>PUNTEGGIO TOTALE</w:t>
            </w:r>
          </w:p>
        </w:tc>
        <w:tc>
          <w:tcPr>
            <w:tcW w:w="1872" w:type="dxa"/>
            <w:vAlign w:val="center"/>
            <w:hideMark/>
          </w:tcPr>
          <w:p w:rsidR="00AC164D" w:rsidRDefault="00AC164D">
            <w:pPr>
              <w:pStyle w:val="NormaleWeb"/>
              <w:jc w:val="center"/>
              <w:rPr>
                <w:sz w:val="22"/>
                <w:szCs w:val="22"/>
                <w:lang w:eastAsia="en-US"/>
              </w:rPr>
            </w:pPr>
            <w:r>
              <w:rPr>
                <w:rStyle w:val="Enfasigrassetto"/>
                <w:sz w:val="22"/>
                <w:szCs w:val="22"/>
                <w:lang w:eastAsia="en-US"/>
              </w:rPr>
              <w:t>100</w:t>
            </w:r>
          </w:p>
        </w:tc>
        <w:tc>
          <w:tcPr>
            <w:tcW w:w="1848" w:type="dxa"/>
            <w:vAlign w:val="center"/>
            <w:hideMark/>
          </w:tcPr>
          <w:p w:rsidR="00AC164D" w:rsidRDefault="00AC164D">
            <w:pPr>
              <w:pStyle w:val="NormaleWeb"/>
              <w:jc w:val="center"/>
              <w:rPr>
                <w:sz w:val="22"/>
                <w:szCs w:val="22"/>
                <w:lang w:eastAsia="en-US"/>
              </w:rPr>
            </w:pPr>
            <w:r>
              <w:rPr>
                <w:rStyle w:val="Enfasigrassetto"/>
                <w:sz w:val="22"/>
                <w:szCs w:val="22"/>
                <w:lang w:eastAsia="en-US"/>
              </w:rPr>
              <w:t>100</w:t>
            </w:r>
          </w:p>
        </w:tc>
      </w:tr>
    </w:tbl>
    <w:p w:rsidR="00AC164D" w:rsidRDefault="00AC164D" w:rsidP="008D1C7B">
      <w:pPr>
        <w:pStyle w:val="NormaleWeb"/>
      </w:pPr>
      <w:r>
        <w:t xml:space="preserve"> In riferimento al merito tecnico (tabella A) e al merito economico (tabella B), per ogni singolo criterio viene suggerito un </w:t>
      </w:r>
      <w:proofErr w:type="spellStart"/>
      <w:r>
        <w:t>range</w:t>
      </w:r>
      <w:proofErr w:type="spellEnd"/>
      <w:r>
        <w:t xml:space="preserve"> di punti, ove il punteggio minimo, in caso di richiesta del servizio specifico, deve essere obbligatoriamente assegnato. Ogni singola Istituzione Scolastica può stabilire, in base alle proprie necessità, di modificare il punteggio massimo del </w:t>
      </w:r>
      <w:proofErr w:type="spellStart"/>
      <w:r>
        <w:t>range</w:t>
      </w:r>
      <w:proofErr w:type="spellEnd"/>
      <w:r>
        <w:t xml:space="preserve"> proposto, rispetto ai prodotti / servizi richiesti fra quelli facoltativi purché la somma tra merito tecnico e merito economico sia sempre uguale a 100. Non possono essere indicati elementi diversi da quelli previsti, possono solo essere non richiesti gli elementi indicati come facoltativi.</w:t>
      </w:r>
    </w:p>
    <w:tbl>
      <w:tblPr>
        <w:tblW w:w="0" w:type="auto"/>
        <w:tblCellSpacing w:w="0" w:type="dxa"/>
        <w:tblCellMar>
          <w:left w:w="0" w:type="dxa"/>
          <w:right w:w="0" w:type="dxa"/>
        </w:tblCellMar>
        <w:tblLook w:val="04A0"/>
      </w:tblPr>
      <w:tblGrid>
        <w:gridCol w:w="5304"/>
        <w:gridCol w:w="1104"/>
        <w:gridCol w:w="1116"/>
      </w:tblGrid>
      <w:tr w:rsidR="00AC164D" w:rsidTr="00AC164D">
        <w:trPr>
          <w:tblCellSpacing w:w="0" w:type="dxa"/>
        </w:trPr>
        <w:tc>
          <w:tcPr>
            <w:tcW w:w="5304" w:type="dxa"/>
            <w:vMerge w:val="restart"/>
            <w:vAlign w:val="center"/>
            <w:hideMark/>
          </w:tcPr>
          <w:p w:rsidR="00AC164D" w:rsidRDefault="00AC164D">
            <w:pPr>
              <w:pStyle w:val="NormaleWeb"/>
              <w:rPr>
                <w:sz w:val="22"/>
                <w:szCs w:val="22"/>
                <w:lang w:eastAsia="en-US"/>
              </w:rPr>
            </w:pPr>
            <w:r>
              <w:t> </w:t>
            </w:r>
            <w:r>
              <w:rPr>
                <w:rStyle w:val="Enfasigrassetto"/>
                <w:sz w:val="22"/>
                <w:szCs w:val="22"/>
                <w:lang w:eastAsia="en-US"/>
              </w:rPr>
              <w:t>MERITO TECNICO (tabella A)</w:t>
            </w:r>
          </w:p>
        </w:tc>
        <w:tc>
          <w:tcPr>
            <w:tcW w:w="2220" w:type="dxa"/>
            <w:gridSpan w:val="2"/>
            <w:vAlign w:val="center"/>
            <w:hideMark/>
          </w:tcPr>
          <w:p w:rsidR="00AC164D" w:rsidRDefault="00AC164D">
            <w:pPr>
              <w:pStyle w:val="NormaleWeb"/>
              <w:jc w:val="center"/>
              <w:rPr>
                <w:sz w:val="22"/>
                <w:szCs w:val="22"/>
                <w:lang w:eastAsia="en-US"/>
              </w:rPr>
            </w:pPr>
            <w:proofErr w:type="spellStart"/>
            <w:r>
              <w:rPr>
                <w:rStyle w:val="Enfasigrassetto"/>
                <w:sz w:val="22"/>
                <w:szCs w:val="22"/>
                <w:lang w:eastAsia="en-US"/>
              </w:rPr>
              <w:t>Range</w:t>
            </w:r>
            <w:proofErr w:type="spellEnd"/>
            <w:r>
              <w:rPr>
                <w:rStyle w:val="Enfasigrassetto"/>
                <w:sz w:val="22"/>
                <w:szCs w:val="22"/>
                <w:lang w:eastAsia="en-US"/>
              </w:rPr>
              <w:t xml:space="preserve"> proposto</w:t>
            </w:r>
          </w:p>
        </w:tc>
      </w:tr>
      <w:tr w:rsidR="00AC164D" w:rsidTr="00AC164D">
        <w:trPr>
          <w:tblCellSpacing w:w="0" w:type="dxa"/>
        </w:trPr>
        <w:tc>
          <w:tcPr>
            <w:tcW w:w="0" w:type="auto"/>
            <w:vMerge/>
            <w:vAlign w:val="center"/>
            <w:hideMark/>
          </w:tcPr>
          <w:p w:rsidR="00AC164D" w:rsidRDefault="00AC164D">
            <w:pPr>
              <w:rPr>
                <w:sz w:val="22"/>
                <w:szCs w:val="22"/>
                <w:lang w:eastAsia="en-US"/>
              </w:rPr>
            </w:pPr>
          </w:p>
        </w:tc>
        <w:tc>
          <w:tcPr>
            <w:tcW w:w="1104" w:type="dxa"/>
            <w:vAlign w:val="center"/>
            <w:hideMark/>
          </w:tcPr>
          <w:p w:rsidR="00AC164D" w:rsidRDefault="00AC164D">
            <w:pPr>
              <w:pStyle w:val="NormaleWeb"/>
              <w:jc w:val="center"/>
              <w:rPr>
                <w:sz w:val="22"/>
                <w:szCs w:val="22"/>
                <w:lang w:eastAsia="en-US"/>
              </w:rPr>
            </w:pPr>
            <w:r>
              <w:rPr>
                <w:rStyle w:val="Enfasicorsivo"/>
                <w:b/>
                <w:bCs/>
                <w:sz w:val="22"/>
                <w:szCs w:val="22"/>
                <w:lang w:eastAsia="en-US"/>
              </w:rPr>
              <w:t>Punteggio</w:t>
            </w:r>
            <w:r>
              <w:rPr>
                <w:b/>
                <w:bCs/>
                <w:i/>
                <w:iCs/>
                <w:sz w:val="22"/>
                <w:szCs w:val="22"/>
                <w:lang w:eastAsia="en-US"/>
              </w:rPr>
              <w:br/>
            </w:r>
            <w:r>
              <w:rPr>
                <w:rStyle w:val="Enfasicorsivo"/>
                <w:b/>
                <w:bCs/>
                <w:sz w:val="22"/>
                <w:szCs w:val="22"/>
                <w:lang w:eastAsia="en-US"/>
              </w:rPr>
              <w:t>minimo</w:t>
            </w:r>
          </w:p>
        </w:tc>
        <w:tc>
          <w:tcPr>
            <w:tcW w:w="1116" w:type="dxa"/>
            <w:vAlign w:val="center"/>
            <w:hideMark/>
          </w:tcPr>
          <w:p w:rsidR="00AC164D" w:rsidRDefault="00AC164D">
            <w:pPr>
              <w:pStyle w:val="NormaleWeb"/>
              <w:jc w:val="center"/>
              <w:rPr>
                <w:sz w:val="22"/>
                <w:szCs w:val="22"/>
                <w:lang w:eastAsia="en-US"/>
              </w:rPr>
            </w:pPr>
            <w:r>
              <w:rPr>
                <w:rStyle w:val="Enfasicorsivo"/>
                <w:b/>
                <w:bCs/>
                <w:sz w:val="22"/>
                <w:szCs w:val="22"/>
                <w:lang w:eastAsia="en-US"/>
              </w:rPr>
              <w:t>Punteggio</w:t>
            </w:r>
            <w:r>
              <w:rPr>
                <w:b/>
                <w:bCs/>
                <w:i/>
                <w:iCs/>
                <w:sz w:val="22"/>
                <w:szCs w:val="22"/>
                <w:lang w:eastAsia="en-US"/>
              </w:rPr>
              <w:br/>
            </w:r>
            <w:r>
              <w:rPr>
                <w:rStyle w:val="Enfasicorsivo"/>
                <w:b/>
                <w:bCs/>
                <w:sz w:val="22"/>
                <w:szCs w:val="22"/>
                <w:lang w:eastAsia="en-US"/>
              </w:rPr>
              <w:t>massimo</w:t>
            </w:r>
          </w:p>
        </w:tc>
      </w:tr>
      <w:tr w:rsidR="00AC164D" w:rsidTr="00AC164D">
        <w:trPr>
          <w:tblCellSpacing w:w="0" w:type="dxa"/>
        </w:trPr>
        <w:tc>
          <w:tcPr>
            <w:tcW w:w="5304" w:type="dxa"/>
            <w:vAlign w:val="center"/>
            <w:hideMark/>
          </w:tcPr>
          <w:p w:rsidR="00AC164D" w:rsidRDefault="00AC164D">
            <w:pPr>
              <w:pStyle w:val="NormaleWeb"/>
              <w:jc w:val="both"/>
              <w:rPr>
                <w:sz w:val="22"/>
                <w:szCs w:val="22"/>
                <w:lang w:eastAsia="en-US"/>
              </w:rPr>
            </w:pPr>
            <w:r>
              <w:rPr>
                <w:rStyle w:val="Enfasicorsivo"/>
                <w:sz w:val="22"/>
                <w:szCs w:val="22"/>
                <w:lang w:eastAsia="en-US"/>
              </w:rPr>
              <w:t>1)       Servizi aggiuntivi all’utilizzo dello strumento OIL (par. 2)</w:t>
            </w:r>
          </w:p>
        </w:tc>
        <w:tc>
          <w:tcPr>
            <w:tcW w:w="1104" w:type="dxa"/>
            <w:vAlign w:val="center"/>
            <w:hideMark/>
          </w:tcPr>
          <w:p w:rsidR="00AC164D" w:rsidRDefault="00AC164D">
            <w:pPr>
              <w:pStyle w:val="NormaleWeb"/>
              <w:jc w:val="center"/>
              <w:rPr>
                <w:sz w:val="22"/>
                <w:szCs w:val="22"/>
                <w:lang w:eastAsia="en-US"/>
              </w:rPr>
            </w:pPr>
            <w:r>
              <w:rPr>
                <w:rStyle w:val="Enfasicorsivo"/>
                <w:sz w:val="22"/>
                <w:szCs w:val="22"/>
                <w:lang w:eastAsia="en-US"/>
              </w:rPr>
              <w:t>1</w:t>
            </w:r>
          </w:p>
        </w:tc>
        <w:tc>
          <w:tcPr>
            <w:tcW w:w="1116" w:type="dxa"/>
            <w:vAlign w:val="center"/>
            <w:hideMark/>
          </w:tcPr>
          <w:p w:rsidR="00AC164D" w:rsidRDefault="00AC164D">
            <w:pPr>
              <w:pStyle w:val="NormaleWeb"/>
              <w:jc w:val="center"/>
              <w:rPr>
                <w:sz w:val="22"/>
                <w:szCs w:val="22"/>
                <w:lang w:eastAsia="en-US"/>
              </w:rPr>
            </w:pPr>
            <w:r>
              <w:rPr>
                <w:rStyle w:val="Enfasicorsivo"/>
                <w:sz w:val="22"/>
                <w:szCs w:val="22"/>
                <w:lang w:eastAsia="en-US"/>
              </w:rPr>
              <w:t>5</w:t>
            </w:r>
          </w:p>
        </w:tc>
      </w:tr>
      <w:tr w:rsidR="00AC164D" w:rsidTr="00AC164D">
        <w:trPr>
          <w:tblCellSpacing w:w="0" w:type="dxa"/>
        </w:trPr>
        <w:tc>
          <w:tcPr>
            <w:tcW w:w="5304" w:type="dxa"/>
            <w:vAlign w:val="center"/>
            <w:hideMark/>
          </w:tcPr>
          <w:p w:rsidR="00AC164D" w:rsidRDefault="00AC164D">
            <w:pPr>
              <w:pStyle w:val="NormaleWeb"/>
              <w:jc w:val="both"/>
              <w:rPr>
                <w:sz w:val="22"/>
                <w:szCs w:val="22"/>
                <w:lang w:eastAsia="en-US"/>
              </w:rPr>
            </w:pPr>
            <w:r>
              <w:rPr>
                <w:rStyle w:val="Enfasicorsivo"/>
                <w:sz w:val="22"/>
                <w:szCs w:val="22"/>
                <w:lang w:eastAsia="en-US"/>
              </w:rPr>
              <w:t>2)       Servizi aggiuntivi per il miglioramento dei processi e degli strumenti di gestione amministrativa, contabile ed organizzativa dell’Istituto (</w:t>
            </w:r>
            <w:proofErr w:type="spellStart"/>
            <w:r>
              <w:rPr>
                <w:rStyle w:val="Enfasicorsivo"/>
                <w:sz w:val="22"/>
                <w:szCs w:val="22"/>
                <w:lang w:eastAsia="en-US"/>
              </w:rPr>
              <w:t>es</w:t>
            </w:r>
            <w:proofErr w:type="spellEnd"/>
            <w:r>
              <w:rPr>
                <w:rStyle w:val="Enfasicorsivo"/>
                <w:sz w:val="22"/>
                <w:szCs w:val="22"/>
                <w:lang w:eastAsia="en-US"/>
              </w:rPr>
              <w:t>: fornitura di assistenza, formazione e strumenti a supporto) (par. 2)</w:t>
            </w:r>
          </w:p>
        </w:tc>
        <w:tc>
          <w:tcPr>
            <w:tcW w:w="1104" w:type="dxa"/>
            <w:vAlign w:val="center"/>
            <w:hideMark/>
          </w:tcPr>
          <w:p w:rsidR="00AC164D" w:rsidRDefault="00AC164D">
            <w:pPr>
              <w:pStyle w:val="NormaleWeb"/>
              <w:jc w:val="center"/>
              <w:rPr>
                <w:sz w:val="22"/>
                <w:szCs w:val="22"/>
                <w:lang w:eastAsia="en-US"/>
              </w:rPr>
            </w:pPr>
            <w:r>
              <w:rPr>
                <w:rStyle w:val="Enfasicorsivo"/>
                <w:sz w:val="22"/>
                <w:szCs w:val="22"/>
                <w:lang w:eastAsia="en-US"/>
              </w:rPr>
              <w:t>1</w:t>
            </w:r>
          </w:p>
        </w:tc>
        <w:tc>
          <w:tcPr>
            <w:tcW w:w="1116" w:type="dxa"/>
            <w:vAlign w:val="center"/>
            <w:hideMark/>
          </w:tcPr>
          <w:p w:rsidR="00AC164D" w:rsidRDefault="00AC164D">
            <w:pPr>
              <w:pStyle w:val="NormaleWeb"/>
              <w:jc w:val="center"/>
              <w:rPr>
                <w:sz w:val="22"/>
                <w:szCs w:val="22"/>
                <w:lang w:eastAsia="en-US"/>
              </w:rPr>
            </w:pPr>
            <w:r>
              <w:rPr>
                <w:rStyle w:val="Enfasicorsivo"/>
                <w:sz w:val="22"/>
                <w:szCs w:val="22"/>
                <w:lang w:eastAsia="en-US"/>
              </w:rPr>
              <w:t>5</w:t>
            </w:r>
          </w:p>
        </w:tc>
      </w:tr>
      <w:tr w:rsidR="00AC164D" w:rsidTr="00AC164D">
        <w:trPr>
          <w:tblCellSpacing w:w="0" w:type="dxa"/>
        </w:trPr>
        <w:tc>
          <w:tcPr>
            <w:tcW w:w="5304" w:type="dxa"/>
            <w:vAlign w:val="center"/>
            <w:hideMark/>
          </w:tcPr>
          <w:p w:rsidR="00AC164D" w:rsidRDefault="00AC164D">
            <w:pPr>
              <w:pStyle w:val="NormaleWeb"/>
              <w:jc w:val="both"/>
              <w:rPr>
                <w:sz w:val="22"/>
                <w:szCs w:val="22"/>
                <w:lang w:eastAsia="en-US"/>
              </w:rPr>
            </w:pPr>
            <w:r>
              <w:rPr>
                <w:rStyle w:val="Enfasicorsivo"/>
                <w:sz w:val="22"/>
                <w:szCs w:val="22"/>
                <w:lang w:eastAsia="en-US"/>
              </w:rPr>
              <w:t>3)       Qualità delle soluzioni organizzative proposte in riferimento ai servizi di consulenza eventualmente richiesti per i servizi di gestione della liquidità (2.4)</w:t>
            </w:r>
          </w:p>
        </w:tc>
        <w:tc>
          <w:tcPr>
            <w:tcW w:w="1104" w:type="dxa"/>
            <w:vAlign w:val="center"/>
            <w:hideMark/>
          </w:tcPr>
          <w:p w:rsidR="00AC164D" w:rsidRDefault="00AC164D">
            <w:pPr>
              <w:pStyle w:val="NormaleWeb"/>
              <w:jc w:val="center"/>
              <w:rPr>
                <w:sz w:val="22"/>
                <w:szCs w:val="22"/>
                <w:lang w:eastAsia="en-US"/>
              </w:rPr>
            </w:pPr>
            <w:r>
              <w:rPr>
                <w:rStyle w:val="Enfasicorsivo"/>
                <w:sz w:val="22"/>
                <w:szCs w:val="22"/>
                <w:lang w:eastAsia="en-US"/>
              </w:rPr>
              <w:t>1</w:t>
            </w:r>
          </w:p>
        </w:tc>
        <w:tc>
          <w:tcPr>
            <w:tcW w:w="1116" w:type="dxa"/>
            <w:vAlign w:val="center"/>
            <w:hideMark/>
          </w:tcPr>
          <w:p w:rsidR="00AC164D" w:rsidRDefault="00AC164D">
            <w:pPr>
              <w:pStyle w:val="NormaleWeb"/>
              <w:jc w:val="center"/>
              <w:rPr>
                <w:sz w:val="22"/>
                <w:szCs w:val="22"/>
                <w:lang w:eastAsia="en-US"/>
              </w:rPr>
            </w:pPr>
            <w:r>
              <w:rPr>
                <w:rStyle w:val="Enfasicorsivo"/>
                <w:sz w:val="22"/>
                <w:szCs w:val="22"/>
                <w:lang w:eastAsia="en-US"/>
              </w:rPr>
              <w:t>2</w:t>
            </w:r>
          </w:p>
        </w:tc>
      </w:tr>
      <w:tr w:rsidR="00AC164D" w:rsidTr="00AC164D">
        <w:trPr>
          <w:tblCellSpacing w:w="0" w:type="dxa"/>
        </w:trPr>
        <w:tc>
          <w:tcPr>
            <w:tcW w:w="5304" w:type="dxa"/>
            <w:vAlign w:val="center"/>
            <w:hideMark/>
          </w:tcPr>
          <w:p w:rsidR="00AC164D" w:rsidRDefault="00AC164D">
            <w:pPr>
              <w:pStyle w:val="NormaleWeb"/>
              <w:jc w:val="both"/>
              <w:rPr>
                <w:sz w:val="22"/>
                <w:szCs w:val="22"/>
                <w:lang w:eastAsia="en-US"/>
              </w:rPr>
            </w:pPr>
            <w:r>
              <w:rPr>
                <w:rStyle w:val="Enfasicorsivo"/>
                <w:sz w:val="22"/>
                <w:szCs w:val="22"/>
                <w:lang w:eastAsia="en-US"/>
              </w:rPr>
              <w:t>4)       Percentuale, applicata sul limite massimo dei 9/12  di trasferimento della dotazione ordinaria per apertura di credito finalizzata alla realizzazione dei progetti formativi (par. 2.6)</w:t>
            </w:r>
          </w:p>
        </w:tc>
        <w:tc>
          <w:tcPr>
            <w:tcW w:w="1104" w:type="dxa"/>
            <w:vAlign w:val="center"/>
            <w:hideMark/>
          </w:tcPr>
          <w:p w:rsidR="00AC164D" w:rsidRDefault="00AC164D">
            <w:pPr>
              <w:pStyle w:val="NormaleWeb"/>
              <w:jc w:val="center"/>
              <w:rPr>
                <w:sz w:val="22"/>
                <w:szCs w:val="22"/>
                <w:lang w:eastAsia="en-US"/>
              </w:rPr>
            </w:pPr>
            <w:r>
              <w:rPr>
                <w:rStyle w:val="Enfasicorsivo"/>
                <w:sz w:val="22"/>
                <w:szCs w:val="22"/>
                <w:lang w:eastAsia="en-US"/>
              </w:rPr>
              <w:t>4</w:t>
            </w:r>
          </w:p>
        </w:tc>
        <w:tc>
          <w:tcPr>
            <w:tcW w:w="1116" w:type="dxa"/>
            <w:vAlign w:val="center"/>
            <w:hideMark/>
          </w:tcPr>
          <w:p w:rsidR="00AC164D" w:rsidRDefault="00AC164D">
            <w:pPr>
              <w:pStyle w:val="NormaleWeb"/>
              <w:jc w:val="center"/>
              <w:rPr>
                <w:sz w:val="22"/>
                <w:szCs w:val="22"/>
                <w:lang w:eastAsia="en-US"/>
              </w:rPr>
            </w:pPr>
            <w:r>
              <w:rPr>
                <w:rStyle w:val="Enfasicorsivo"/>
                <w:sz w:val="22"/>
                <w:szCs w:val="22"/>
                <w:lang w:eastAsia="en-US"/>
              </w:rPr>
              <w:t>8</w:t>
            </w:r>
          </w:p>
        </w:tc>
      </w:tr>
      <w:tr w:rsidR="00AC164D" w:rsidTr="00AC164D">
        <w:trPr>
          <w:tblCellSpacing w:w="0" w:type="dxa"/>
        </w:trPr>
        <w:tc>
          <w:tcPr>
            <w:tcW w:w="5304" w:type="dxa"/>
            <w:vAlign w:val="center"/>
            <w:hideMark/>
          </w:tcPr>
          <w:p w:rsidR="00AC164D" w:rsidRDefault="00AC164D">
            <w:pPr>
              <w:pStyle w:val="NormaleWeb"/>
              <w:jc w:val="both"/>
              <w:rPr>
                <w:sz w:val="22"/>
                <w:szCs w:val="22"/>
                <w:lang w:eastAsia="en-US"/>
              </w:rPr>
            </w:pPr>
            <w:r>
              <w:rPr>
                <w:rStyle w:val="Enfasicorsivo"/>
                <w:sz w:val="22"/>
                <w:szCs w:val="22"/>
                <w:lang w:eastAsia="en-US"/>
              </w:rPr>
              <w:t>5) Ulteriori servizi di incasso in aggiunta a quelli già previsti al par. 2.8</w:t>
            </w:r>
          </w:p>
        </w:tc>
        <w:tc>
          <w:tcPr>
            <w:tcW w:w="1104" w:type="dxa"/>
            <w:vAlign w:val="center"/>
            <w:hideMark/>
          </w:tcPr>
          <w:p w:rsidR="00AC164D" w:rsidRDefault="00AC164D">
            <w:pPr>
              <w:pStyle w:val="NormaleWeb"/>
              <w:jc w:val="center"/>
              <w:rPr>
                <w:sz w:val="22"/>
                <w:szCs w:val="22"/>
                <w:lang w:eastAsia="en-US"/>
              </w:rPr>
            </w:pPr>
            <w:r>
              <w:rPr>
                <w:sz w:val="22"/>
                <w:szCs w:val="22"/>
                <w:lang w:eastAsia="en-US"/>
              </w:rPr>
              <w:t>1</w:t>
            </w:r>
          </w:p>
        </w:tc>
        <w:tc>
          <w:tcPr>
            <w:tcW w:w="1116" w:type="dxa"/>
            <w:vAlign w:val="center"/>
            <w:hideMark/>
          </w:tcPr>
          <w:p w:rsidR="00AC164D" w:rsidRDefault="00AC164D">
            <w:pPr>
              <w:pStyle w:val="NormaleWeb"/>
              <w:jc w:val="center"/>
              <w:rPr>
                <w:sz w:val="22"/>
                <w:szCs w:val="22"/>
                <w:lang w:eastAsia="en-US"/>
              </w:rPr>
            </w:pPr>
            <w:r>
              <w:rPr>
                <w:sz w:val="22"/>
                <w:szCs w:val="22"/>
                <w:lang w:eastAsia="en-US"/>
              </w:rPr>
              <w:t>5</w:t>
            </w:r>
          </w:p>
        </w:tc>
      </w:tr>
      <w:tr w:rsidR="00AC164D" w:rsidTr="00AC164D">
        <w:trPr>
          <w:tblCellSpacing w:w="0" w:type="dxa"/>
        </w:trPr>
        <w:tc>
          <w:tcPr>
            <w:tcW w:w="5304" w:type="dxa"/>
            <w:vMerge w:val="restart"/>
            <w:vAlign w:val="center"/>
            <w:hideMark/>
          </w:tcPr>
          <w:p w:rsidR="00AC164D" w:rsidRDefault="00AC164D">
            <w:pPr>
              <w:pStyle w:val="NormaleWeb"/>
              <w:rPr>
                <w:sz w:val="22"/>
                <w:szCs w:val="22"/>
                <w:lang w:eastAsia="en-US"/>
              </w:rPr>
            </w:pPr>
            <w:r>
              <w:t> </w:t>
            </w:r>
            <w:r>
              <w:rPr>
                <w:sz w:val="22"/>
                <w:szCs w:val="22"/>
              </w:rPr>
              <w:t> </w:t>
            </w:r>
            <w:r>
              <w:rPr>
                <w:rStyle w:val="Enfasigrassetto"/>
                <w:sz w:val="22"/>
                <w:szCs w:val="22"/>
                <w:lang w:eastAsia="en-US"/>
              </w:rPr>
              <w:t>MERITO ECONOMICO (tabella B)</w:t>
            </w:r>
          </w:p>
        </w:tc>
        <w:tc>
          <w:tcPr>
            <w:tcW w:w="2220" w:type="dxa"/>
            <w:gridSpan w:val="2"/>
            <w:vAlign w:val="center"/>
            <w:hideMark/>
          </w:tcPr>
          <w:p w:rsidR="00AC164D" w:rsidRDefault="00AC164D">
            <w:pPr>
              <w:pStyle w:val="NormaleWeb"/>
              <w:jc w:val="center"/>
              <w:rPr>
                <w:sz w:val="22"/>
                <w:szCs w:val="22"/>
                <w:lang w:eastAsia="en-US"/>
              </w:rPr>
            </w:pPr>
            <w:proofErr w:type="spellStart"/>
            <w:r>
              <w:rPr>
                <w:rStyle w:val="Enfasigrassetto"/>
                <w:sz w:val="22"/>
                <w:szCs w:val="22"/>
                <w:lang w:eastAsia="en-US"/>
              </w:rPr>
              <w:t>Range</w:t>
            </w:r>
            <w:proofErr w:type="spellEnd"/>
            <w:r>
              <w:rPr>
                <w:rStyle w:val="Enfasigrassetto"/>
                <w:sz w:val="22"/>
                <w:szCs w:val="22"/>
                <w:lang w:eastAsia="en-US"/>
              </w:rPr>
              <w:t xml:space="preserve"> proposto</w:t>
            </w:r>
          </w:p>
        </w:tc>
      </w:tr>
      <w:tr w:rsidR="00AC164D" w:rsidTr="00AC164D">
        <w:trPr>
          <w:tblCellSpacing w:w="0" w:type="dxa"/>
        </w:trPr>
        <w:tc>
          <w:tcPr>
            <w:tcW w:w="0" w:type="auto"/>
            <w:vMerge/>
            <w:vAlign w:val="center"/>
            <w:hideMark/>
          </w:tcPr>
          <w:p w:rsidR="00AC164D" w:rsidRDefault="00AC164D">
            <w:pPr>
              <w:rPr>
                <w:sz w:val="22"/>
                <w:szCs w:val="22"/>
                <w:lang w:eastAsia="en-US"/>
              </w:rPr>
            </w:pPr>
          </w:p>
        </w:tc>
        <w:tc>
          <w:tcPr>
            <w:tcW w:w="1104" w:type="dxa"/>
            <w:vAlign w:val="center"/>
            <w:hideMark/>
          </w:tcPr>
          <w:p w:rsidR="00AC164D" w:rsidRDefault="00AC164D">
            <w:pPr>
              <w:pStyle w:val="NormaleWeb"/>
              <w:jc w:val="center"/>
              <w:rPr>
                <w:sz w:val="22"/>
                <w:szCs w:val="22"/>
                <w:lang w:eastAsia="en-US"/>
              </w:rPr>
            </w:pPr>
            <w:r>
              <w:rPr>
                <w:rStyle w:val="Enfasicorsivo"/>
                <w:b/>
                <w:bCs/>
                <w:sz w:val="22"/>
                <w:szCs w:val="22"/>
                <w:lang w:eastAsia="en-US"/>
              </w:rPr>
              <w:t>Punteggio</w:t>
            </w:r>
            <w:r>
              <w:rPr>
                <w:b/>
                <w:bCs/>
                <w:i/>
                <w:iCs/>
                <w:sz w:val="22"/>
                <w:szCs w:val="22"/>
                <w:lang w:eastAsia="en-US"/>
              </w:rPr>
              <w:br/>
            </w:r>
            <w:r>
              <w:rPr>
                <w:rStyle w:val="Enfasicorsivo"/>
                <w:b/>
                <w:bCs/>
                <w:sz w:val="22"/>
                <w:szCs w:val="22"/>
                <w:lang w:eastAsia="en-US"/>
              </w:rPr>
              <w:t>minimo</w:t>
            </w:r>
          </w:p>
        </w:tc>
        <w:tc>
          <w:tcPr>
            <w:tcW w:w="1116" w:type="dxa"/>
            <w:vAlign w:val="center"/>
            <w:hideMark/>
          </w:tcPr>
          <w:p w:rsidR="00AC164D" w:rsidRDefault="00AC164D">
            <w:pPr>
              <w:pStyle w:val="NormaleWeb"/>
              <w:jc w:val="center"/>
              <w:rPr>
                <w:sz w:val="22"/>
                <w:szCs w:val="22"/>
                <w:lang w:eastAsia="en-US"/>
              </w:rPr>
            </w:pPr>
            <w:r>
              <w:rPr>
                <w:rStyle w:val="Enfasicorsivo"/>
                <w:b/>
                <w:bCs/>
                <w:sz w:val="22"/>
                <w:szCs w:val="22"/>
                <w:lang w:eastAsia="en-US"/>
              </w:rPr>
              <w:t>Punteggio</w:t>
            </w:r>
            <w:r>
              <w:rPr>
                <w:b/>
                <w:bCs/>
                <w:i/>
                <w:iCs/>
                <w:sz w:val="22"/>
                <w:szCs w:val="22"/>
                <w:lang w:eastAsia="en-US"/>
              </w:rPr>
              <w:br/>
            </w:r>
            <w:r>
              <w:rPr>
                <w:rStyle w:val="Enfasicorsivo"/>
                <w:b/>
                <w:bCs/>
                <w:sz w:val="22"/>
                <w:szCs w:val="22"/>
                <w:lang w:eastAsia="en-US"/>
              </w:rPr>
              <w:t>massimo</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rStyle w:val="Enfasicorsivo"/>
                <w:sz w:val="22"/>
                <w:szCs w:val="22"/>
                <w:lang w:eastAsia="en-US"/>
              </w:rPr>
              <w:t>1)       Compenso e spese annue di gestione e tenuta conto (par. 2)</w:t>
            </w:r>
          </w:p>
        </w:tc>
        <w:tc>
          <w:tcPr>
            <w:tcW w:w="1104" w:type="dxa"/>
            <w:vAlign w:val="center"/>
            <w:hideMark/>
          </w:tcPr>
          <w:p w:rsidR="00AC164D" w:rsidRDefault="00AC164D">
            <w:pPr>
              <w:pStyle w:val="NormaleWeb"/>
              <w:rPr>
                <w:sz w:val="22"/>
                <w:szCs w:val="22"/>
                <w:lang w:eastAsia="en-US"/>
              </w:rPr>
            </w:pPr>
            <w:r>
              <w:rPr>
                <w:sz w:val="22"/>
                <w:szCs w:val="22"/>
                <w:lang w:eastAsia="en-US"/>
              </w:rPr>
              <w:t>15</w:t>
            </w:r>
          </w:p>
        </w:tc>
        <w:tc>
          <w:tcPr>
            <w:tcW w:w="1116" w:type="dxa"/>
            <w:vAlign w:val="center"/>
            <w:hideMark/>
          </w:tcPr>
          <w:p w:rsidR="00AC164D" w:rsidRDefault="00AC164D">
            <w:pPr>
              <w:pStyle w:val="NormaleWeb"/>
              <w:rPr>
                <w:sz w:val="22"/>
                <w:szCs w:val="22"/>
                <w:lang w:eastAsia="en-US"/>
              </w:rPr>
            </w:pPr>
            <w:r>
              <w:rPr>
                <w:sz w:val="22"/>
                <w:szCs w:val="22"/>
                <w:lang w:eastAsia="en-US"/>
              </w:rPr>
              <w:t>30</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rStyle w:val="Enfasicorsivo"/>
                <w:sz w:val="22"/>
                <w:szCs w:val="22"/>
                <w:lang w:eastAsia="en-US"/>
              </w:rPr>
              <w:t>2)       Compenso e spese annue per attivazione e gestione servizi di remote banking (par. 2)</w:t>
            </w:r>
          </w:p>
        </w:tc>
        <w:tc>
          <w:tcPr>
            <w:tcW w:w="1104" w:type="dxa"/>
            <w:vAlign w:val="center"/>
            <w:hideMark/>
          </w:tcPr>
          <w:p w:rsidR="00AC164D" w:rsidRDefault="00AC164D">
            <w:pPr>
              <w:pStyle w:val="NormaleWeb"/>
              <w:rPr>
                <w:sz w:val="22"/>
                <w:szCs w:val="22"/>
                <w:lang w:eastAsia="en-US"/>
              </w:rPr>
            </w:pPr>
            <w:r>
              <w:rPr>
                <w:sz w:val="22"/>
                <w:szCs w:val="22"/>
                <w:lang w:eastAsia="en-US"/>
              </w:rPr>
              <w:t>15</w:t>
            </w:r>
          </w:p>
        </w:tc>
        <w:tc>
          <w:tcPr>
            <w:tcW w:w="1116" w:type="dxa"/>
            <w:vAlign w:val="center"/>
            <w:hideMark/>
          </w:tcPr>
          <w:p w:rsidR="00AC164D" w:rsidRDefault="00AC164D">
            <w:pPr>
              <w:pStyle w:val="NormaleWeb"/>
              <w:rPr>
                <w:sz w:val="22"/>
                <w:szCs w:val="22"/>
                <w:lang w:eastAsia="en-US"/>
              </w:rPr>
            </w:pPr>
            <w:r>
              <w:rPr>
                <w:sz w:val="22"/>
                <w:szCs w:val="22"/>
                <w:lang w:eastAsia="en-US"/>
              </w:rPr>
              <w:t>30</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rStyle w:val="Enfasicorsivo"/>
                <w:b/>
                <w:bCs/>
                <w:sz w:val="22"/>
                <w:szCs w:val="22"/>
                <w:lang w:eastAsia="en-US"/>
              </w:rPr>
              <w:t xml:space="preserve">3)       </w:t>
            </w:r>
            <w:r>
              <w:rPr>
                <w:rStyle w:val="Enfasicorsivo"/>
                <w:sz w:val="22"/>
                <w:szCs w:val="22"/>
                <w:lang w:eastAsia="en-US"/>
              </w:rPr>
              <w:t xml:space="preserve">Valute su incassi (par. 2.1) – entro il secondo giorno lavorativo successivo all’invio del messaggio </w:t>
            </w:r>
            <w:r>
              <w:rPr>
                <w:sz w:val="22"/>
                <w:szCs w:val="22"/>
                <w:lang w:eastAsia="en-US"/>
              </w:rPr>
              <w:t>applicativo di avvenuta esecuzione o incasso</w:t>
            </w:r>
          </w:p>
        </w:tc>
        <w:tc>
          <w:tcPr>
            <w:tcW w:w="1104" w:type="dxa"/>
            <w:vAlign w:val="center"/>
            <w:hideMark/>
          </w:tcPr>
          <w:p w:rsidR="00AC164D" w:rsidRDefault="00AC164D">
            <w:pPr>
              <w:pStyle w:val="NormaleWeb"/>
              <w:rPr>
                <w:sz w:val="22"/>
                <w:szCs w:val="22"/>
                <w:lang w:eastAsia="en-US"/>
              </w:rPr>
            </w:pPr>
            <w:r>
              <w:rPr>
                <w:sz w:val="22"/>
                <w:szCs w:val="22"/>
                <w:lang w:eastAsia="en-US"/>
              </w:rPr>
              <w:t>1</w:t>
            </w:r>
          </w:p>
        </w:tc>
        <w:tc>
          <w:tcPr>
            <w:tcW w:w="1116" w:type="dxa"/>
            <w:vAlign w:val="center"/>
            <w:hideMark/>
          </w:tcPr>
          <w:p w:rsidR="00AC164D" w:rsidRDefault="00AC164D">
            <w:pPr>
              <w:pStyle w:val="NormaleWeb"/>
              <w:rPr>
                <w:sz w:val="22"/>
                <w:szCs w:val="22"/>
                <w:lang w:eastAsia="en-US"/>
              </w:rPr>
            </w:pPr>
            <w:r>
              <w:rPr>
                <w:sz w:val="22"/>
                <w:szCs w:val="22"/>
                <w:lang w:eastAsia="en-US"/>
              </w:rPr>
              <w:t>3</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sz w:val="22"/>
                <w:szCs w:val="22"/>
                <w:lang w:eastAsia="en-US"/>
              </w:rPr>
              <w:t>- prevista il giorno stesso</w:t>
            </w:r>
          </w:p>
        </w:tc>
        <w:tc>
          <w:tcPr>
            <w:tcW w:w="1104" w:type="dxa"/>
            <w:vAlign w:val="center"/>
            <w:hideMark/>
          </w:tcPr>
          <w:p w:rsidR="00AC164D" w:rsidRDefault="00AC164D">
            <w:pPr>
              <w:pStyle w:val="NormaleWeb"/>
              <w:rPr>
                <w:sz w:val="22"/>
                <w:szCs w:val="22"/>
                <w:lang w:eastAsia="en-US"/>
              </w:rPr>
            </w:pPr>
            <w:r>
              <w:rPr>
                <w:sz w:val="22"/>
                <w:szCs w:val="22"/>
                <w:lang w:eastAsia="en-US"/>
              </w:rPr>
              <w:t>1</w:t>
            </w:r>
          </w:p>
        </w:tc>
        <w:tc>
          <w:tcPr>
            <w:tcW w:w="1116" w:type="dxa"/>
            <w:vAlign w:val="center"/>
            <w:hideMark/>
          </w:tcPr>
          <w:p w:rsidR="00AC164D" w:rsidRDefault="00AC164D">
            <w:pPr>
              <w:pStyle w:val="NormaleWeb"/>
              <w:rPr>
                <w:sz w:val="22"/>
                <w:szCs w:val="22"/>
                <w:lang w:eastAsia="en-US"/>
              </w:rPr>
            </w:pPr>
            <w:r>
              <w:rPr>
                <w:sz w:val="22"/>
                <w:szCs w:val="22"/>
                <w:lang w:eastAsia="en-US"/>
              </w:rPr>
              <w:t>3</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sz w:val="22"/>
                <w:szCs w:val="22"/>
                <w:lang w:eastAsia="en-US"/>
              </w:rPr>
              <w:t>- prevista dopo un giorno</w:t>
            </w:r>
          </w:p>
        </w:tc>
        <w:tc>
          <w:tcPr>
            <w:tcW w:w="1104" w:type="dxa"/>
            <w:vAlign w:val="center"/>
            <w:hideMark/>
          </w:tcPr>
          <w:p w:rsidR="00AC164D" w:rsidRDefault="00AC164D">
            <w:pPr>
              <w:pStyle w:val="NormaleWeb"/>
              <w:rPr>
                <w:sz w:val="22"/>
                <w:szCs w:val="22"/>
                <w:lang w:eastAsia="en-US"/>
              </w:rPr>
            </w:pPr>
            <w:r>
              <w:rPr>
                <w:sz w:val="22"/>
                <w:szCs w:val="22"/>
                <w:lang w:eastAsia="en-US"/>
              </w:rPr>
              <w:t>0,5</w:t>
            </w:r>
          </w:p>
        </w:tc>
        <w:tc>
          <w:tcPr>
            <w:tcW w:w="1116" w:type="dxa"/>
            <w:vAlign w:val="center"/>
            <w:hideMark/>
          </w:tcPr>
          <w:p w:rsidR="00AC164D" w:rsidRDefault="00AC164D">
            <w:pPr>
              <w:pStyle w:val="NormaleWeb"/>
              <w:rPr>
                <w:sz w:val="22"/>
                <w:szCs w:val="22"/>
                <w:lang w:eastAsia="en-US"/>
              </w:rPr>
            </w:pPr>
            <w:r>
              <w:rPr>
                <w:sz w:val="22"/>
                <w:szCs w:val="22"/>
                <w:lang w:eastAsia="en-US"/>
              </w:rPr>
              <w:t>1</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sz w:val="22"/>
                <w:szCs w:val="22"/>
                <w:lang w:eastAsia="en-US"/>
              </w:rPr>
              <w:t>- prevista dopo due giorni</w:t>
            </w:r>
          </w:p>
        </w:tc>
        <w:tc>
          <w:tcPr>
            <w:tcW w:w="1104" w:type="dxa"/>
            <w:vAlign w:val="center"/>
            <w:hideMark/>
          </w:tcPr>
          <w:p w:rsidR="00AC164D" w:rsidRDefault="00AC164D">
            <w:pPr>
              <w:pStyle w:val="NormaleWeb"/>
              <w:rPr>
                <w:sz w:val="22"/>
                <w:szCs w:val="22"/>
                <w:lang w:eastAsia="en-US"/>
              </w:rPr>
            </w:pPr>
            <w:r>
              <w:rPr>
                <w:sz w:val="22"/>
                <w:szCs w:val="22"/>
                <w:lang w:eastAsia="en-US"/>
              </w:rPr>
              <w:t>0</w:t>
            </w:r>
          </w:p>
        </w:tc>
        <w:tc>
          <w:tcPr>
            <w:tcW w:w="1116" w:type="dxa"/>
            <w:vAlign w:val="center"/>
            <w:hideMark/>
          </w:tcPr>
          <w:p w:rsidR="00AC164D" w:rsidRDefault="00AC164D">
            <w:pPr>
              <w:pStyle w:val="NormaleWeb"/>
              <w:rPr>
                <w:sz w:val="22"/>
                <w:szCs w:val="22"/>
                <w:lang w:eastAsia="en-US"/>
              </w:rPr>
            </w:pPr>
            <w:r>
              <w:rPr>
                <w:sz w:val="22"/>
                <w:szCs w:val="22"/>
                <w:lang w:eastAsia="en-US"/>
              </w:rPr>
              <w:t>0</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rStyle w:val="Enfasicorsivo"/>
                <w:b/>
                <w:bCs/>
                <w:sz w:val="22"/>
                <w:szCs w:val="22"/>
                <w:lang w:eastAsia="en-US"/>
              </w:rPr>
              <w:t xml:space="preserve">4)       </w:t>
            </w:r>
            <w:r>
              <w:rPr>
                <w:rStyle w:val="Enfasicorsivo"/>
                <w:sz w:val="22"/>
                <w:szCs w:val="22"/>
                <w:lang w:eastAsia="en-US"/>
              </w:rPr>
              <w:t xml:space="preserve">Termine di ammissibilità pagamento dei mandati </w:t>
            </w:r>
            <w:r>
              <w:rPr>
                <w:rStyle w:val="Enfasicorsivo"/>
                <w:sz w:val="22"/>
                <w:szCs w:val="22"/>
                <w:lang w:eastAsia="en-US"/>
              </w:rPr>
              <w:lastRenderedPageBreak/>
              <w:t>(par. 2.2) - entro e non oltre il secondo giorno lavorativo o lavorativo bancabile successivo a quello dell’invio del messaggio di presa in carico</w:t>
            </w:r>
          </w:p>
        </w:tc>
        <w:tc>
          <w:tcPr>
            <w:tcW w:w="1104" w:type="dxa"/>
            <w:vAlign w:val="center"/>
            <w:hideMark/>
          </w:tcPr>
          <w:p w:rsidR="00AC164D" w:rsidRDefault="00AC164D">
            <w:pPr>
              <w:pStyle w:val="NormaleWeb"/>
              <w:rPr>
                <w:sz w:val="22"/>
                <w:szCs w:val="22"/>
                <w:lang w:eastAsia="en-US"/>
              </w:rPr>
            </w:pPr>
            <w:r>
              <w:rPr>
                <w:sz w:val="22"/>
                <w:szCs w:val="22"/>
                <w:lang w:eastAsia="en-US"/>
              </w:rPr>
              <w:lastRenderedPageBreak/>
              <w:t>1</w:t>
            </w:r>
          </w:p>
        </w:tc>
        <w:tc>
          <w:tcPr>
            <w:tcW w:w="1116" w:type="dxa"/>
            <w:vAlign w:val="center"/>
            <w:hideMark/>
          </w:tcPr>
          <w:p w:rsidR="00AC164D" w:rsidRDefault="00AC164D">
            <w:pPr>
              <w:pStyle w:val="NormaleWeb"/>
              <w:rPr>
                <w:sz w:val="22"/>
                <w:szCs w:val="22"/>
                <w:lang w:eastAsia="en-US"/>
              </w:rPr>
            </w:pPr>
            <w:r>
              <w:rPr>
                <w:sz w:val="22"/>
                <w:szCs w:val="22"/>
                <w:lang w:eastAsia="en-US"/>
              </w:rPr>
              <w:t>3</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sz w:val="22"/>
                <w:szCs w:val="22"/>
                <w:lang w:eastAsia="en-US"/>
              </w:rPr>
              <w:lastRenderedPageBreak/>
              <w:t>- prevista il giorno stesso</w:t>
            </w:r>
          </w:p>
        </w:tc>
        <w:tc>
          <w:tcPr>
            <w:tcW w:w="1104" w:type="dxa"/>
            <w:vAlign w:val="center"/>
            <w:hideMark/>
          </w:tcPr>
          <w:p w:rsidR="00AC164D" w:rsidRDefault="00AC164D">
            <w:pPr>
              <w:pStyle w:val="NormaleWeb"/>
              <w:rPr>
                <w:sz w:val="22"/>
                <w:szCs w:val="22"/>
                <w:lang w:eastAsia="en-US"/>
              </w:rPr>
            </w:pPr>
            <w:r>
              <w:rPr>
                <w:sz w:val="22"/>
                <w:szCs w:val="22"/>
                <w:lang w:eastAsia="en-US"/>
              </w:rPr>
              <w:t>1</w:t>
            </w:r>
          </w:p>
        </w:tc>
        <w:tc>
          <w:tcPr>
            <w:tcW w:w="1116" w:type="dxa"/>
            <w:vAlign w:val="center"/>
            <w:hideMark/>
          </w:tcPr>
          <w:p w:rsidR="00AC164D" w:rsidRDefault="00AC164D">
            <w:pPr>
              <w:pStyle w:val="NormaleWeb"/>
              <w:rPr>
                <w:sz w:val="22"/>
                <w:szCs w:val="22"/>
                <w:lang w:eastAsia="en-US"/>
              </w:rPr>
            </w:pPr>
            <w:r>
              <w:rPr>
                <w:sz w:val="22"/>
                <w:szCs w:val="22"/>
                <w:lang w:eastAsia="en-US"/>
              </w:rPr>
              <w:t>3</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sz w:val="22"/>
                <w:szCs w:val="22"/>
                <w:lang w:eastAsia="en-US"/>
              </w:rPr>
              <w:t>- prevista dopo un giorno</w:t>
            </w:r>
          </w:p>
        </w:tc>
        <w:tc>
          <w:tcPr>
            <w:tcW w:w="1104" w:type="dxa"/>
            <w:vAlign w:val="center"/>
            <w:hideMark/>
          </w:tcPr>
          <w:p w:rsidR="00AC164D" w:rsidRDefault="00AC164D">
            <w:pPr>
              <w:pStyle w:val="NormaleWeb"/>
              <w:rPr>
                <w:sz w:val="22"/>
                <w:szCs w:val="22"/>
                <w:lang w:eastAsia="en-US"/>
              </w:rPr>
            </w:pPr>
            <w:r>
              <w:rPr>
                <w:sz w:val="22"/>
                <w:szCs w:val="22"/>
                <w:lang w:eastAsia="en-US"/>
              </w:rPr>
              <w:t>0,5</w:t>
            </w:r>
          </w:p>
        </w:tc>
        <w:tc>
          <w:tcPr>
            <w:tcW w:w="1116" w:type="dxa"/>
            <w:vAlign w:val="center"/>
            <w:hideMark/>
          </w:tcPr>
          <w:p w:rsidR="00AC164D" w:rsidRDefault="00AC164D">
            <w:pPr>
              <w:pStyle w:val="NormaleWeb"/>
              <w:rPr>
                <w:sz w:val="22"/>
                <w:szCs w:val="22"/>
                <w:lang w:eastAsia="en-US"/>
              </w:rPr>
            </w:pPr>
            <w:r>
              <w:rPr>
                <w:sz w:val="22"/>
                <w:szCs w:val="22"/>
                <w:lang w:eastAsia="en-US"/>
              </w:rPr>
              <w:t>1</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sz w:val="22"/>
                <w:szCs w:val="22"/>
                <w:lang w:eastAsia="en-US"/>
              </w:rPr>
              <w:t>- prevista dopo due giorni</w:t>
            </w:r>
          </w:p>
        </w:tc>
        <w:tc>
          <w:tcPr>
            <w:tcW w:w="1104" w:type="dxa"/>
            <w:vAlign w:val="center"/>
            <w:hideMark/>
          </w:tcPr>
          <w:p w:rsidR="00AC164D" w:rsidRDefault="00AC164D">
            <w:pPr>
              <w:pStyle w:val="NormaleWeb"/>
              <w:rPr>
                <w:sz w:val="22"/>
                <w:szCs w:val="22"/>
                <w:lang w:eastAsia="en-US"/>
              </w:rPr>
            </w:pPr>
            <w:r>
              <w:rPr>
                <w:sz w:val="22"/>
                <w:szCs w:val="22"/>
                <w:lang w:eastAsia="en-US"/>
              </w:rPr>
              <w:t>0</w:t>
            </w:r>
          </w:p>
        </w:tc>
        <w:tc>
          <w:tcPr>
            <w:tcW w:w="1116" w:type="dxa"/>
            <w:vAlign w:val="center"/>
            <w:hideMark/>
          </w:tcPr>
          <w:p w:rsidR="00AC164D" w:rsidRDefault="00AC164D">
            <w:pPr>
              <w:pStyle w:val="NormaleWeb"/>
              <w:rPr>
                <w:sz w:val="22"/>
                <w:szCs w:val="22"/>
                <w:lang w:eastAsia="en-US"/>
              </w:rPr>
            </w:pPr>
            <w:r>
              <w:rPr>
                <w:sz w:val="22"/>
                <w:szCs w:val="22"/>
                <w:lang w:eastAsia="en-US"/>
              </w:rPr>
              <w:t>0</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rStyle w:val="Enfasicorsivo"/>
                <w:sz w:val="22"/>
                <w:szCs w:val="22"/>
                <w:lang w:eastAsia="en-US"/>
              </w:rPr>
              <w:t xml:space="preserve">5)       Commissioni a carico dell’Istituto per singola operazione di pagamento ordinato dall’Istituto medesimo mediante bonifico, esclusi bonifici stipendi e rimborsi spese a favore dei dipendenti </w:t>
            </w:r>
            <w:r>
              <w:rPr>
                <w:sz w:val="22"/>
                <w:szCs w:val="22"/>
                <w:lang w:eastAsia="en-US"/>
              </w:rPr>
              <w:t>(par. 2.2)</w:t>
            </w:r>
          </w:p>
        </w:tc>
        <w:tc>
          <w:tcPr>
            <w:tcW w:w="1104" w:type="dxa"/>
            <w:vAlign w:val="center"/>
            <w:hideMark/>
          </w:tcPr>
          <w:p w:rsidR="00AC164D" w:rsidRDefault="00AC164D">
            <w:pPr>
              <w:pStyle w:val="NormaleWeb"/>
              <w:rPr>
                <w:sz w:val="22"/>
                <w:szCs w:val="22"/>
                <w:lang w:eastAsia="en-US"/>
              </w:rPr>
            </w:pPr>
            <w:r>
              <w:rPr>
                <w:sz w:val="22"/>
                <w:szCs w:val="22"/>
                <w:lang w:eastAsia="en-US"/>
              </w:rPr>
              <w:t>3</w:t>
            </w:r>
          </w:p>
        </w:tc>
        <w:tc>
          <w:tcPr>
            <w:tcW w:w="1116" w:type="dxa"/>
            <w:vAlign w:val="center"/>
            <w:hideMark/>
          </w:tcPr>
          <w:p w:rsidR="00AC164D" w:rsidRDefault="00AC164D">
            <w:pPr>
              <w:pStyle w:val="NormaleWeb"/>
              <w:rPr>
                <w:sz w:val="22"/>
                <w:szCs w:val="22"/>
                <w:lang w:eastAsia="en-US"/>
              </w:rPr>
            </w:pPr>
            <w:r>
              <w:rPr>
                <w:sz w:val="22"/>
                <w:szCs w:val="22"/>
                <w:lang w:eastAsia="en-US"/>
              </w:rPr>
              <w:t>8</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sz w:val="22"/>
                <w:szCs w:val="22"/>
                <w:lang w:eastAsia="en-US"/>
              </w:rPr>
              <w:t>6) Commissioni a carico dell’Istituto per singola operazione di</w:t>
            </w:r>
          </w:p>
          <w:p w:rsidR="00AC164D" w:rsidRDefault="00AC164D">
            <w:pPr>
              <w:pStyle w:val="NormaleWeb"/>
              <w:rPr>
                <w:sz w:val="22"/>
                <w:szCs w:val="22"/>
                <w:lang w:eastAsia="en-US"/>
              </w:rPr>
            </w:pPr>
            <w:r>
              <w:rPr>
                <w:sz w:val="22"/>
                <w:szCs w:val="22"/>
                <w:lang w:eastAsia="en-US"/>
              </w:rPr>
              <w:t>pagamento ordinato dall’Istituto medesimo, mediante [se del caso</w:t>
            </w:r>
          </w:p>
          <w:p w:rsidR="00AC164D" w:rsidRDefault="00AC164D">
            <w:pPr>
              <w:pStyle w:val="NormaleWeb"/>
              <w:rPr>
                <w:sz w:val="22"/>
                <w:szCs w:val="22"/>
                <w:lang w:eastAsia="en-US"/>
              </w:rPr>
            </w:pPr>
            <w:r>
              <w:rPr>
                <w:sz w:val="22"/>
                <w:szCs w:val="22"/>
                <w:lang w:eastAsia="en-US"/>
              </w:rPr>
              <w:t>inserire eventuale altro strumento di pagamento], esclusi i</w:t>
            </w:r>
          </w:p>
          <w:p w:rsidR="00AC164D" w:rsidRDefault="00AC164D">
            <w:pPr>
              <w:pStyle w:val="NormaleWeb"/>
              <w:rPr>
                <w:sz w:val="22"/>
                <w:szCs w:val="22"/>
                <w:lang w:eastAsia="en-US"/>
              </w:rPr>
            </w:pPr>
            <w:r>
              <w:rPr>
                <w:sz w:val="22"/>
                <w:szCs w:val="22"/>
                <w:lang w:eastAsia="en-US"/>
              </w:rPr>
              <w:t>pagamenti stipendi e i rimborsi spese a favore dei dipendenti (par.</w:t>
            </w:r>
          </w:p>
          <w:p w:rsidR="00AC164D" w:rsidRDefault="00AC164D">
            <w:pPr>
              <w:pStyle w:val="NormaleWeb"/>
              <w:rPr>
                <w:sz w:val="22"/>
                <w:szCs w:val="22"/>
                <w:lang w:eastAsia="en-US"/>
              </w:rPr>
            </w:pPr>
            <w:r>
              <w:rPr>
                <w:sz w:val="22"/>
                <w:szCs w:val="22"/>
                <w:lang w:eastAsia="en-US"/>
              </w:rPr>
              <w:t>2.2)</w:t>
            </w:r>
          </w:p>
        </w:tc>
        <w:tc>
          <w:tcPr>
            <w:tcW w:w="1104" w:type="dxa"/>
            <w:vAlign w:val="center"/>
            <w:hideMark/>
          </w:tcPr>
          <w:p w:rsidR="00AC164D" w:rsidRDefault="00AC164D">
            <w:pPr>
              <w:pStyle w:val="NormaleWeb"/>
              <w:rPr>
                <w:sz w:val="22"/>
                <w:szCs w:val="22"/>
                <w:lang w:eastAsia="en-US"/>
              </w:rPr>
            </w:pPr>
            <w:r>
              <w:rPr>
                <w:sz w:val="22"/>
                <w:szCs w:val="22"/>
                <w:lang w:eastAsia="en-US"/>
              </w:rPr>
              <w:t>3</w:t>
            </w:r>
          </w:p>
        </w:tc>
        <w:tc>
          <w:tcPr>
            <w:tcW w:w="1116" w:type="dxa"/>
            <w:vAlign w:val="center"/>
            <w:hideMark/>
          </w:tcPr>
          <w:p w:rsidR="00AC164D" w:rsidRDefault="00AC164D">
            <w:pPr>
              <w:pStyle w:val="NormaleWeb"/>
              <w:rPr>
                <w:sz w:val="22"/>
                <w:szCs w:val="22"/>
                <w:lang w:eastAsia="en-US"/>
              </w:rPr>
            </w:pPr>
            <w:r>
              <w:rPr>
                <w:sz w:val="22"/>
                <w:szCs w:val="22"/>
                <w:lang w:eastAsia="en-US"/>
              </w:rPr>
              <w:t>8</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sz w:val="22"/>
                <w:szCs w:val="22"/>
                <w:lang w:eastAsia="en-US"/>
              </w:rPr>
              <w:t>7) Spese annue per attivazione e gestione carta di credito (par. 2.3)</w:t>
            </w:r>
          </w:p>
          <w:p w:rsidR="00AC164D" w:rsidRDefault="00AC164D">
            <w:pPr>
              <w:pStyle w:val="NormaleWeb"/>
              <w:rPr>
                <w:sz w:val="22"/>
                <w:szCs w:val="22"/>
                <w:lang w:eastAsia="en-US"/>
              </w:rPr>
            </w:pPr>
            <w:r>
              <w:rPr>
                <w:rStyle w:val="Enfasigrassetto"/>
                <w:sz w:val="22"/>
                <w:szCs w:val="22"/>
                <w:lang w:eastAsia="en-US"/>
              </w:rPr>
              <w:t>1 carta</w:t>
            </w:r>
          </w:p>
          <w:p w:rsidR="00AC164D" w:rsidRDefault="00AC164D">
            <w:pPr>
              <w:pStyle w:val="NormaleWeb"/>
              <w:rPr>
                <w:sz w:val="22"/>
                <w:szCs w:val="22"/>
                <w:lang w:eastAsia="en-US"/>
              </w:rPr>
            </w:pPr>
            <w:r>
              <w:rPr>
                <w:rStyle w:val="Enfasigrassetto"/>
                <w:sz w:val="22"/>
                <w:szCs w:val="22"/>
                <w:lang w:eastAsia="en-US"/>
              </w:rPr>
              <w:t>oltre 1carta  fino a 10 carte</w:t>
            </w:r>
          </w:p>
          <w:p w:rsidR="00AC164D" w:rsidRDefault="00AC164D">
            <w:pPr>
              <w:pStyle w:val="NormaleWeb"/>
              <w:rPr>
                <w:sz w:val="22"/>
                <w:szCs w:val="22"/>
                <w:lang w:eastAsia="en-US"/>
              </w:rPr>
            </w:pPr>
            <w:r>
              <w:rPr>
                <w:sz w:val="22"/>
                <w:szCs w:val="22"/>
                <w:lang w:eastAsia="en-US"/>
              </w:rPr>
              <w:t> </w:t>
            </w:r>
          </w:p>
        </w:tc>
        <w:tc>
          <w:tcPr>
            <w:tcW w:w="1104" w:type="dxa"/>
            <w:vAlign w:val="center"/>
            <w:hideMark/>
          </w:tcPr>
          <w:p w:rsidR="00AC164D" w:rsidRDefault="00AC164D">
            <w:pPr>
              <w:pStyle w:val="NormaleWeb"/>
              <w:rPr>
                <w:sz w:val="22"/>
                <w:szCs w:val="22"/>
                <w:lang w:eastAsia="en-US"/>
              </w:rPr>
            </w:pPr>
            <w:r>
              <w:rPr>
                <w:sz w:val="22"/>
                <w:szCs w:val="22"/>
                <w:lang w:eastAsia="en-US"/>
              </w:rPr>
              <w:t>1</w:t>
            </w:r>
          </w:p>
        </w:tc>
        <w:tc>
          <w:tcPr>
            <w:tcW w:w="1116" w:type="dxa"/>
            <w:vAlign w:val="center"/>
            <w:hideMark/>
          </w:tcPr>
          <w:p w:rsidR="00AC164D" w:rsidRDefault="00AC164D">
            <w:pPr>
              <w:pStyle w:val="NormaleWeb"/>
              <w:rPr>
                <w:sz w:val="22"/>
                <w:szCs w:val="22"/>
                <w:lang w:eastAsia="en-US"/>
              </w:rPr>
            </w:pPr>
            <w:r>
              <w:rPr>
                <w:sz w:val="22"/>
                <w:szCs w:val="22"/>
                <w:lang w:eastAsia="en-US"/>
              </w:rPr>
              <w:t>5</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sz w:val="22"/>
                <w:szCs w:val="22"/>
                <w:lang w:eastAsia="en-US"/>
              </w:rPr>
              <w:t>8) Oneri di ricarica delle carte prepagate emesse dal Gestore (par.</w:t>
            </w:r>
          </w:p>
          <w:p w:rsidR="00AC164D" w:rsidRDefault="00AC164D">
            <w:pPr>
              <w:pStyle w:val="NormaleWeb"/>
              <w:rPr>
                <w:sz w:val="22"/>
                <w:szCs w:val="22"/>
                <w:lang w:eastAsia="en-US"/>
              </w:rPr>
            </w:pPr>
            <w:r>
              <w:rPr>
                <w:sz w:val="22"/>
                <w:szCs w:val="22"/>
                <w:lang w:eastAsia="en-US"/>
              </w:rPr>
              <w:t>2.3)</w:t>
            </w:r>
          </w:p>
        </w:tc>
        <w:tc>
          <w:tcPr>
            <w:tcW w:w="1104" w:type="dxa"/>
            <w:vAlign w:val="center"/>
            <w:hideMark/>
          </w:tcPr>
          <w:p w:rsidR="00AC164D" w:rsidRDefault="00AC164D">
            <w:pPr>
              <w:pStyle w:val="NormaleWeb"/>
              <w:rPr>
                <w:sz w:val="22"/>
                <w:szCs w:val="22"/>
                <w:lang w:eastAsia="en-US"/>
              </w:rPr>
            </w:pPr>
            <w:r>
              <w:rPr>
                <w:sz w:val="22"/>
                <w:szCs w:val="22"/>
                <w:lang w:eastAsia="en-US"/>
              </w:rPr>
              <w:t>1</w:t>
            </w:r>
          </w:p>
        </w:tc>
        <w:tc>
          <w:tcPr>
            <w:tcW w:w="1116" w:type="dxa"/>
            <w:vAlign w:val="center"/>
            <w:hideMark/>
          </w:tcPr>
          <w:p w:rsidR="00AC164D" w:rsidRDefault="00AC164D">
            <w:pPr>
              <w:pStyle w:val="NormaleWeb"/>
              <w:rPr>
                <w:sz w:val="22"/>
                <w:szCs w:val="22"/>
                <w:lang w:eastAsia="en-US"/>
              </w:rPr>
            </w:pPr>
            <w:r>
              <w:rPr>
                <w:sz w:val="22"/>
                <w:szCs w:val="22"/>
                <w:lang w:eastAsia="en-US"/>
              </w:rPr>
              <w:t>5</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sz w:val="22"/>
                <w:szCs w:val="22"/>
                <w:lang w:eastAsia="en-US"/>
              </w:rPr>
              <w:t>9) Oneri di ricarica delle carte prepagate tramite circuito</w:t>
            </w:r>
          </w:p>
          <w:p w:rsidR="00AC164D" w:rsidRDefault="00AC164D">
            <w:pPr>
              <w:pStyle w:val="NormaleWeb"/>
              <w:rPr>
                <w:sz w:val="22"/>
                <w:szCs w:val="22"/>
                <w:lang w:eastAsia="en-US"/>
              </w:rPr>
            </w:pPr>
            <w:r>
              <w:rPr>
                <w:sz w:val="22"/>
                <w:szCs w:val="22"/>
                <w:lang w:eastAsia="en-US"/>
              </w:rPr>
              <w:t>interbancario (par. 2.3)</w:t>
            </w:r>
          </w:p>
        </w:tc>
        <w:tc>
          <w:tcPr>
            <w:tcW w:w="1104" w:type="dxa"/>
            <w:vAlign w:val="center"/>
            <w:hideMark/>
          </w:tcPr>
          <w:p w:rsidR="00AC164D" w:rsidRDefault="00AC164D">
            <w:pPr>
              <w:pStyle w:val="NormaleWeb"/>
              <w:rPr>
                <w:sz w:val="22"/>
                <w:szCs w:val="22"/>
                <w:lang w:eastAsia="en-US"/>
              </w:rPr>
            </w:pPr>
            <w:r>
              <w:rPr>
                <w:sz w:val="22"/>
                <w:szCs w:val="22"/>
                <w:lang w:eastAsia="en-US"/>
              </w:rPr>
              <w:t>1</w:t>
            </w:r>
          </w:p>
        </w:tc>
        <w:tc>
          <w:tcPr>
            <w:tcW w:w="1116" w:type="dxa"/>
            <w:vAlign w:val="center"/>
            <w:hideMark/>
          </w:tcPr>
          <w:p w:rsidR="00AC164D" w:rsidRDefault="00AC164D">
            <w:pPr>
              <w:pStyle w:val="NormaleWeb"/>
              <w:rPr>
                <w:sz w:val="22"/>
                <w:szCs w:val="22"/>
                <w:lang w:eastAsia="en-US"/>
              </w:rPr>
            </w:pPr>
            <w:r>
              <w:rPr>
                <w:sz w:val="22"/>
                <w:szCs w:val="22"/>
                <w:lang w:eastAsia="en-US"/>
              </w:rPr>
              <w:t>5</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sz w:val="22"/>
                <w:szCs w:val="22"/>
                <w:lang w:eastAsia="en-US"/>
              </w:rPr>
              <w:t>10) Tasso d'interesse attivo su giacenze attive di cassa per le</w:t>
            </w:r>
          </w:p>
          <w:p w:rsidR="00AC164D" w:rsidRDefault="00AC164D">
            <w:pPr>
              <w:pStyle w:val="NormaleWeb"/>
              <w:rPr>
                <w:sz w:val="22"/>
                <w:szCs w:val="22"/>
                <w:lang w:eastAsia="en-US"/>
              </w:rPr>
            </w:pPr>
            <w:r>
              <w:rPr>
                <w:sz w:val="22"/>
                <w:szCs w:val="22"/>
                <w:lang w:eastAsia="en-US"/>
              </w:rPr>
              <w:t>disponibilità non sottoposte a regime di tesoreria unica (par. 2.4)</w:t>
            </w:r>
          </w:p>
        </w:tc>
        <w:tc>
          <w:tcPr>
            <w:tcW w:w="1104" w:type="dxa"/>
            <w:vAlign w:val="center"/>
            <w:hideMark/>
          </w:tcPr>
          <w:p w:rsidR="00AC164D" w:rsidRDefault="00AC164D">
            <w:pPr>
              <w:pStyle w:val="NormaleWeb"/>
              <w:rPr>
                <w:sz w:val="22"/>
                <w:szCs w:val="22"/>
                <w:lang w:eastAsia="en-US"/>
              </w:rPr>
            </w:pPr>
            <w:r>
              <w:rPr>
                <w:sz w:val="22"/>
                <w:szCs w:val="22"/>
                <w:lang w:eastAsia="en-US"/>
              </w:rPr>
              <w:t>1</w:t>
            </w:r>
          </w:p>
        </w:tc>
        <w:tc>
          <w:tcPr>
            <w:tcW w:w="1116" w:type="dxa"/>
            <w:vAlign w:val="center"/>
            <w:hideMark/>
          </w:tcPr>
          <w:p w:rsidR="00AC164D" w:rsidRDefault="00AC164D">
            <w:pPr>
              <w:pStyle w:val="NormaleWeb"/>
              <w:rPr>
                <w:sz w:val="22"/>
                <w:szCs w:val="22"/>
                <w:lang w:eastAsia="en-US"/>
              </w:rPr>
            </w:pPr>
            <w:r>
              <w:rPr>
                <w:sz w:val="22"/>
                <w:szCs w:val="22"/>
                <w:lang w:eastAsia="en-US"/>
              </w:rPr>
              <w:t>2</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sz w:val="22"/>
                <w:szCs w:val="22"/>
                <w:lang w:eastAsia="en-US"/>
              </w:rPr>
              <w:t>11) Tasso annuo d’interesse passivo su anticipazioni di cassa (par.</w:t>
            </w:r>
          </w:p>
          <w:p w:rsidR="00AC164D" w:rsidRDefault="00AC164D">
            <w:pPr>
              <w:pStyle w:val="NormaleWeb"/>
              <w:rPr>
                <w:sz w:val="22"/>
                <w:szCs w:val="22"/>
                <w:lang w:eastAsia="en-US"/>
              </w:rPr>
            </w:pPr>
            <w:r>
              <w:rPr>
                <w:sz w:val="22"/>
                <w:szCs w:val="22"/>
                <w:lang w:eastAsia="en-US"/>
              </w:rPr>
              <w:t>2.5)</w:t>
            </w:r>
          </w:p>
        </w:tc>
        <w:tc>
          <w:tcPr>
            <w:tcW w:w="1104" w:type="dxa"/>
            <w:vAlign w:val="center"/>
            <w:hideMark/>
          </w:tcPr>
          <w:p w:rsidR="00AC164D" w:rsidRDefault="00AC164D">
            <w:pPr>
              <w:pStyle w:val="NormaleWeb"/>
              <w:rPr>
                <w:sz w:val="22"/>
                <w:szCs w:val="22"/>
                <w:lang w:eastAsia="en-US"/>
              </w:rPr>
            </w:pPr>
            <w:r>
              <w:rPr>
                <w:sz w:val="22"/>
                <w:szCs w:val="22"/>
                <w:lang w:eastAsia="en-US"/>
              </w:rPr>
              <w:t>10</w:t>
            </w:r>
          </w:p>
        </w:tc>
        <w:tc>
          <w:tcPr>
            <w:tcW w:w="1116" w:type="dxa"/>
            <w:vAlign w:val="center"/>
            <w:hideMark/>
          </w:tcPr>
          <w:p w:rsidR="00AC164D" w:rsidRDefault="00AC164D">
            <w:pPr>
              <w:pStyle w:val="NormaleWeb"/>
              <w:rPr>
                <w:sz w:val="22"/>
                <w:szCs w:val="22"/>
                <w:lang w:eastAsia="en-US"/>
              </w:rPr>
            </w:pPr>
            <w:r>
              <w:rPr>
                <w:sz w:val="22"/>
                <w:szCs w:val="22"/>
                <w:lang w:eastAsia="en-US"/>
              </w:rPr>
              <w:t>20</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sz w:val="22"/>
                <w:szCs w:val="22"/>
                <w:lang w:eastAsia="en-US"/>
              </w:rPr>
              <w:t>12) Tasso annuo d’interesse passivo su aperture di credito (par.</w:t>
            </w:r>
          </w:p>
          <w:p w:rsidR="00AC164D" w:rsidRDefault="00AC164D">
            <w:pPr>
              <w:pStyle w:val="NormaleWeb"/>
              <w:rPr>
                <w:sz w:val="22"/>
                <w:szCs w:val="22"/>
                <w:lang w:eastAsia="en-US"/>
              </w:rPr>
            </w:pPr>
            <w:r>
              <w:rPr>
                <w:sz w:val="22"/>
                <w:szCs w:val="22"/>
                <w:lang w:eastAsia="en-US"/>
              </w:rPr>
              <w:t>2.6)</w:t>
            </w:r>
          </w:p>
        </w:tc>
        <w:tc>
          <w:tcPr>
            <w:tcW w:w="1104" w:type="dxa"/>
            <w:vAlign w:val="center"/>
            <w:hideMark/>
          </w:tcPr>
          <w:p w:rsidR="00AC164D" w:rsidRDefault="00AC164D">
            <w:pPr>
              <w:pStyle w:val="NormaleWeb"/>
              <w:rPr>
                <w:sz w:val="22"/>
                <w:szCs w:val="22"/>
                <w:lang w:eastAsia="en-US"/>
              </w:rPr>
            </w:pPr>
            <w:r>
              <w:rPr>
                <w:sz w:val="22"/>
                <w:szCs w:val="22"/>
                <w:lang w:eastAsia="en-US"/>
              </w:rPr>
              <w:t>6</w:t>
            </w:r>
          </w:p>
        </w:tc>
        <w:tc>
          <w:tcPr>
            <w:tcW w:w="1116" w:type="dxa"/>
            <w:vAlign w:val="center"/>
            <w:hideMark/>
          </w:tcPr>
          <w:p w:rsidR="00AC164D" w:rsidRDefault="00AC164D">
            <w:pPr>
              <w:pStyle w:val="NormaleWeb"/>
              <w:rPr>
                <w:sz w:val="22"/>
                <w:szCs w:val="22"/>
                <w:lang w:eastAsia="en-US"/>
              </w:rPr>
            </w:pPr>
            <w:r>
              <w:rPr>
                <w:sz w:val="22"/>
                <w:szCs w:val="22"/>
                <w:lang w:eastAsia="en-US"/>
              </w:rPr>
              <w:t>15</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sz w:val="22"/>
                <w:szCs w:val="22"/>
                <w:lang w:eastAsia="en-US"/>
              </w:rPr>
              <w:t>13) Remunerazione forfettaria annua per custodia e</w:t>
            </w:r>
          </w:p>
          <w:p w:rsidR="00AC164D" w:rsidRDefault="00AC164D">
            <w:pPr>
              <w:pStyle w:val="NormaleWeb"/>
              <w:rPr>
                <w:sz w:val="22"/>
                <w:szCs w:val="22"/>
                <w:lang w:eastAsia="en-US"/>
              </w:rPr>
            </w:pPr>
            <w:r>
              <w:rPr>
                <w:sz w:val="22"/>
                <w:szCs w:val="22"/>
                <w:lang w:eastAsia="en-US"/>
              </w:rPr>
              <w:t>amministrazione di titoli e valori (par. 2.7)</w:t>
            </w:r>
          </w:p>
        </w:tc>
        <w:tc>
          <w:tcPr>
            <w:tcW w:w="1104" w:type="dxa"/>
            <w:vAlign w:val="center"/>
            <w:hideMark/>
          </w:tcPr>
          <w:p w:rsidR="00AC164D" w:rsidRDefault="00AC164D">
            <w:pPr>
              <w:pStyle w:val="NormaleWeb"/>
              <w:rPr>
                <w:sz w:val="22"/>
                <w:szCs w:val="22"/>
                <w:lang w:eastAsia="en-US"/>
              </w:rPr>
            </w:pPr>
            <w:r>
              <w:rPr>
                <w:sz w:val="22"/>
                <w:szCs w:val="22"/>
                <w:lang w:eastAsia="en-US"/>
              </w:rPr>
              <w:t>2</w:t>
            </w:r>
          </w:p>
        </w:tc>
        <w:tc>
          <w:tcPr>
            <w:tcW w:w="1116" w:type="dxa"/>
            <w:vAlign w:val="center"/>
            <w:hideMark/>
          </w:tcPr>
          <w:p w:rsidR="00AC164D" w:rsidRDefault="00AC164D">
            <w:pPr>
              <w:pStyle w:val="NormaleWeb"/>
              <w:rPr>
                <w:sz w:val="22"/>
                <w:szCs w:val="22"/>
                <w:lang w:eastAsia="en-US"/>
              </w:rPr>
            </w:pPr>
            <w:r>
              <w:rPr>
                <w:sz w:val="22"/>
                <w:szCs w:val="22"/>
                <w:lang w:eastAsia="en-US"/>
              </w:rPr>
              <w:t>6</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sz w:val="22"/>
                <w:szCs w:val="22"/>
                <w:lang w:eastAsia="en-US"/>
              </w:rPr>
              <w:t>14) Commissione per transazione inerente il servizio di riscossione</w:t>
            </w:r>
          </w:p>
          <w:p w:rsidR="00AC164D" w:rsidRDefault="00AC164D">
            <w:pPr>
              <w:pStyle w:val="NormaleWeb"/>
              <w:rPr>
                <w:sz w:val="22"/>
                <w:szCs w:val="22"/>
                <w:lang w:eastAsia="en-US"/>
              </w:rPr>
            </w:pPr>
            <w:r>
              <w:rPr>
                <w:sz w:val="22"/>
                <w:szCs w:val="22"/>
                <w:lang w:eastAsia="en-US"/>
              </w:rPr>
              <w:t>tramite procedura MAV bancario e postale (par. 2.8)</w:t>
            </w:r>
          </w:p>
        </w:tc>
        <w:tc>
          <w:tcPr>
            <w:tcW w:w="1104" w:type="dxa"/>
            <w:vAlign w:val="center"/>
            <w:hideMark/>
          </w:tcPr>
          <w:p w:rsidR="00AC164D" w:rsidRDefault="00AC164D">
            <w:pPr>
              <w:pStyle w:val="NormaleWeb"/>
              <w:rPr>
                <w:sz w:val="22"/>
                <w:szCs w:val="22"/>
                <w:lang w:eastAsia="en-US"/>
              </w:rPr>
            </w:pPr>
            <w:r>
              <w:rPr>
                <w:sz w:val="22"/>
                <w:szCs w:val="22"/>
                <w:lang w:eastAsia="en-US"/>
              </w:rPr>
              <w:t>2</w:t>
            </w:r>
          </w:p>
        </w:tc>
        <w:tc>
          <w:tcPr>
            <w:tcW w:w="1116" w:type="dxa"/>
            <w:vAlign w:val="center"/>
            <w:hideMark/>
          </w:tcPr>
          <w:p w:rsidR="00AC164D" w:rsidRDefault="00AC164D">
            <w:pPr>
              <w:pStyle w:val="NormaleWeb"/>
              <w:rPr>
                <w:sz w:val="22"/>
                <w:szCs w:val="22"/>
                <w:lang w:eastAsia="en-US"/>
              </w:rPr>
            </w:pPr>
            <w:r>
              <w:rPr>
                <w:sz w:val="22"/>
                <w:szCs w:val="22"/>
                <w:lang w:eastAsia="en-US"/>
              </w:rPr>
              <w:t>8</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sz w:val="22"/>
                <w:szCs w:val="22"/>
                <w:lang w:eastAsia="en-US"/>
              </w:rPr>
              <w:t xml:space="preserve">15) Commissione per transazione inerente il servizio di </w:t>
            </w:r>
            <w:r>
              <w:rPr>
                <w:sz w:val="22"/>
                <w:szCs w:val="22"/>
                <w:lang w:eastAsia="en-US"/>
              </w:rPr>
              <w:lastRenderedPageBreak/>
              <w:t>riscossione</w:t>
            </w:r>
          </w:p>
          <w:p w:rsidR="00AC164D" w:rsidRDefault="00AC164D">
            <w:pPr>
              <w:pStyle w:val="NormaleWeb"/>
              <w:rPr>
                <w:sz w:val="22"/>
                <w:szCs w:val="22"/>
                <w:lang w:eastAsia="en-US"/>
              </w:rPr>
            </w:pPr>
            <w:r>
              <w:rPr>
                <w:sz w:val="22"/>
                <w:szCs w:val="22"/>
                <w:lang w:eastAsia="en-US"/>
              </w:rPr>
              <w:t>tramite procedura RID bancario e postale (par. 2.8)</w:t>
            </w:r>
          </w:p>
          <w:p w:rsidR="00AC164D" w:rsidRDefault="00AC164D">
            <w:pPr>
              <w:pStyle w:val="NormaleWeb"/>
              <w:rPr>
                <w:sz w:val="22"/>
                <w:szCs w:val="22"/>
                <w:lang w:eastAsia="en-US"/>
              </w:rPr>
            </w:pPr>
            <w:r>
              <w:rPr>
                <w:rStyle w:val="Enfasigrassetto"/>
                <w:sz w:val="22"/>
                <w:szCs w:val="22"/>
                <w:lang w:eastAsia="en-US"/>
              </w:rPr>
              <w:t>Numero di operazioni disposte dal 1 gennaio al 31 dicembre di ogni anno:</w:t>
            </w:r>
          </w:p>
          <w:p w:rsidR="00AC164D" w:rsidRDefault="00AC164D">
            <w:pPr>
              <w:pStyle w:val="NormaleWeb"/>
              <w:rPr>
                <w:sz w:val="22"/>
                <w:szCs w:val="22"/>
                <w:lang w:eastAsia="en-US"/>
              </w:rPr>
            </w:pPr>
            <w:r>
              <w:rPr>
                <w:rStyle w:val="Enfasigrassetto"/>
                <w:sz w:val="22"/>
                <w:szCs w:val="22"/>
                <w:lang w:eastAsia="en-US"/>
              </w:rPr>
              <w:t>fino a 5000</w:t>
            </w:r>
          </w:p>
          <w:p w:rsidR="00AC164D" w:rsidRDefault="00AC164D">
            <w:pPr>
              <w:pStyle w:val="NormaleWeb"/>
              <w:rPr>
                <w:sz w:val="22"/>
                <w:szCs w:val="22"/>
                <w:lang w:eastAsia="en-US"/>
              </w:rPr>
            </w:pPr>
            <w:r>
              <w:rPr>
                <w:rStyle w:val="Enfasigrassetto"/>
                <w:sz w:val="22"/>
                <w:szCs w:val="22"/>
                <w:lang w:eastAsia="en-US"/>
              </w:rPr>
              <w:t>oltre 5000</w:t>
            </w:r>
          </w:p>
        </w:tc>
        <w:tc>
          <w:tcPr>
            <w:tcW w:w="1104" w:type="dxa"/>
            <w:vAlign w:val="center"/>
            <w:hideMark/>
          </w:tcPr>
          <w:p w:rsidR="00AC164D" w:rsidRDefault="00AC164D">
            <w:pPr>
              <w:pStyle w:val="NormaleWeb"/>
              <w:rPr>
                <w:sz w:val="22"/>
                <w:szCs w:val="22"/>
                <w:lang w:eastAsia="en-US"/>
              </w:rPr>
            </w:pPr>
            <w:r>
              <w:rPr>
                <w:sz w:val="22"/>
                <w:szCs w:val="22"/>
                <w:lang w:eastAsia="en-US"/>
              </w:rPr>
              <w:lastRenderedPageBreak/>
              <w:t>2</w:t>
            </w:r>
          </w:p>
        </w:tc>
        <w:tc>
          <w:tcPr>
            <w:tcW w:w="1116" w:type="dxa"/>
            <w:vAlign w:val="center"/>
            <w:hideMark/>
          </w:tcPr>
          <w:p w:rsidR="00AC164D" w:rsidRDefault="00AC164D">
            <w:pPr>
              <w:pStyle w:val="NormaleWeb"/>
              <w:rPr>
                <w:sz w:val="22"/>
                <w:szCs w:val="22"/>
                <w:lang w:eastAsia="en-US"/>
              </w:rPr>
            </w:pPr>
            <w:r>
              <w:rPr>
                <w:sz w:val="22"/>
                <w:szCs w:val="22"/>
                <w:lang w:eastAsia="en-US"/>
              </w:rPr>
              <w:t>8</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rStyle w:val="Enfasicorsivo"/>
                <w:sz w:val="22"/>
                <w:szCs w:val="22"/>
                <w:lang w:eastAsia="en-US"/>
              </w:rPr>
              <w:lastRenderedPageBreak/>
              <w:t>16) Commissione per transazione inerente il servizio di riscossione</w:t>
            </w:r>
          </w:p>
          <w:p w:rsidR="00AC164D" w:rsidRDefault="00AC164D">
            <w:pPr>
              <w:pStyle w:val="NormaleWeb"/>
              <w:rPr>
                <w:sz w:val="22"/>
                <w:szCs w:val="22"/>
                <w:lang w:eastAsia="en-US"/>
              </w:rPr>
            </w:pPr>
            <w:r>
              <w:rPr>
                <w:sz w:val="22"/>
                <w:szCs w:val="22"/>
                <w:lang w:eastAsia="en-US"/>
              </w:rPr>
              <w:t>tramite procedura RIBA (par. 2.8)</w:t>
            </w:r>
          </w:p>
          <w:p w:rsidR="00AC164D" w:rsidRDefault="00AC164D">
            <w:pPr>
              <w:pStyle w:val="NormaleWeb"/>
              <w:rPr>
                <w:sz w:val="22"/>
                <w:szCs w:val="22"/>
                <w:lang w:eastAsia="en-US"/>
              </w:rPr>
            </w:pPr>
            <w:r>
              <w:rPr>
                <w:sz w:val="22"/>
                <w:szCs w:val="22"/>
                <w:lang w:eastAsia="en-US"/>
              </w:rPr>
              <w:t>[ovvero, in alternativa]</w:t>
            </w:r>
          </w:p>
          <w:p w:rsidR="00AC164D" w:rsidRDefault="00AC164D">
            <w:pPr>
              <w:pStyle w:val="NormaleWeb"/>
              <w:rPr>
                <w:sz w:val="22"/>
                <w:szCs w:val="22"/>
                <w:lang w:eastAsia="en-US"/>
              </w:rPr>
            </w:pPr>
            <w:r>
              <w:rPr>
                <w:rStyle w:val="Enfasicorsivo"/>
                <w:sz w:val="22"/>
                <w:szCs w:val="22"/>
                <w:lang w:eastAsia="en-US"/>
              </w:rPr>
              <w:t>Commissione per transazione inerente il servizio di riscossione</w:t>
            </w:r>
          </w:p>
          <w:p w:rsidR="00AC164D" w:rsidRDefault="00AC164D">
            <w:pPr>
              <w:pStyle w:val="NormaleWeb"/>
              <w:rPr>
                <w:sz w:val="22"/>
                <w:szCs w:val="22"/>
                <w:lang w:eastAsia="en-US"/>
              </w:rPr>
            </w:pPr>
            <w:r>
              <w:rPr>
                <w:rStyle w:val="Enfasicorsivo"/>
                <w:sz w:val="22"/>
                <w:szCs w:val="22"/>
                <w:lang w:eastAsia="en-US"/>
              </w:rPr>
              <w:t>tramite incasso domiciliato (par. 2.8)</w:t>
            </w:r>
          </w:p>
        </w:tc>
        <w:tc>
          <w:tcPr>
            <w:tcW w:w="1104" w:type="dxa"/>
            <w:vAlign w:val="center"/>
            <w:hideMark/>
          </w:tcPr>
          <w:p w:rsidR="00AC164D" w:rsidRDefault="00AC164D">
            <w:pPr>
              <w:pStyle w:val="NormaleWeb"/>
              <w:rPr>
                <w:sz w:val="22"/>
                <w:szCs w:val="22"/>
                <w:lang w:eastAsia="en-US"/>
              </w:rPr>
            </w:pPr>
            <w:r>
              <w:rPr>
                <w:sz w:val="22"/>
                <w:szCs w:val="22"/>
                <w:lang w:eastAsia="en-US"/>
              </w:rPr>
              <w:t>2</w:t>
            </w:r>
          </w:p>
        </w:tc>
        <w:tc>
          <w:tcPr>
            <w:tcW w:w="1116" w:type="dxa"/>
            <w:vAlign w:val="center"/>
            <w:hideMark/>
          </w:tcPr>
          <w:p w:rsidR="00AC164D" w:rsidRDefault="00AC164D">
            <w:pPr>
              <w:pStyle w:val="NormaleWeb"/>
              <w:rPr>
                <w:sz w:val="22"/>
                <w:szCs w:val="22"/>
                <w:lang w:eastAsia="en-US"/>
              </w:rPr>
            </w:pPr>
            <w:r>
              <w:rPr>
                <w:sz w:val="22"/>
                <w:szCs w:val="22"/>
                <w:lang w:eastAsia="en-US"/>
              </w:rPr>
              <w:t>8</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rStyle w:val="Enfasicorsivo"/>
                <w:sz w:val="22"/>
                <w:szCs w:val="22"/>
                <w:lang w:eastAsia="en-US"/>
              </w:rPr>
              <w:t>17)         Commissione per transazione inerente il servizio di riscossione tramite bollettino (par. 2.8)</w:t>
            </w:r>
          </w:p>
        </w:tc>
        <w:tc>
          <w:tcPr>
            <w:tcW w:w="1104" w:type="dxa"/>
            <w:vAlign w:val="center"/>
            <w:hideMark/>
          </w:tcPr>
          <w:p w:rsidR="00AC164D" w:rsidRDefault="00AC164D">
            <w:pPr>
              <w:pStyle w:val="NormaleWeb"/>
              <w:rPr>
                <w:sz w:val="22"/>
                <w:szCs w:val="22"/>
                <w:lang w:eastAsia="en-US"/>
              </w:rPr>
            </w:pPr>
            <w:r>
              <w:rPr>
                <w:sz w:val="22"/>
                <w:szCs w:val="22"/>
                <w:lang w:eastAsia="en-US"/>
              </w:rPr>
              <w:t>2</w:t>
            </w:r>
          </w:p>
        </w:tc>
        <w:tc>
          <w:tcPr>
            <w:tcW w:w="1116" w:type="dxa"/>
            <w:vAlign w:val="center"/>
            <w:hideMark/>
          </w:tcPr>
          <w:p w:rsidR="00AC164D" w:rsidRDefault="00AC164D">
            <w:pPr>
              <w:pStyle w:val="NormaleWeb"/>
              <w:rPr>
                <w:sz w:val="22"/>
                <w:szCs w:val="22"/>
                <w:lang w:eastAsia="en-US"/>
              </w:rPr>
            </w:pPr>
            <w:r>
              <w:rPr>
                <w:sz w:val="22"/>
                <w:szCs w:val="22"/>
                <w:lang w:eastAsia="en-US"/>
              </w:rPr>
              <w:t>8</w:t>
            </w:r>
          </w:p>
        </w:tc>
      </w:tr>
      <w:tr w:rsidR="00AC164D" w:rsidTr="00AC164D">
        <w:trPr>
          <w:tblCellSpacing w:w="0" w:type="dxa"/>
        </w:trPr>
        <w:tc>
          <w:tcPr>
            <w:tcW w:w="5304" w:type="dxa"/>
            <w:vAlign w:val="center"/>
            <w:hideMark/>
          </w:tcPr>
          <w:p w:rsidR="00AC164D" w:rsidRDefault="00AC164D">
            <w:pPr>
              <w:pStyle w:val="NormaleWeb"/>
              <w:rPr>
                <w:sz w:val="22"/>
                <w:szCs w:val="22"/>
                <w:lang w:eastAsia="en-US"/>
              </w:rPr>
            </w:pPr>
            <w:r>
              <w:rPr>
                <w:rStyle w:val="Enfasicorsivo"/>
                <w:sz w:val="22"/>
                <w:szCs w:val="22"/>
                <w:lang w:eastAsia="en-US"/>
              </w:rPr>
              <w:t>18)         Commissione per transazione inerente il servizio di riscossione tramite POS (par. 2.8)</w:t>
            </w:r>
          </w:p>
          <w:p w:rsidR="00AC164D" w:rsidRDefault="00AC164D" w:rsidP="00AC164D">
            <w:pPr>
              <w:numPr>
                <w:ilvl w:val="0"/>
                <w:numId w:val="19"/>
              </w:numPr>
              <w:spacing w:before="100" w:beforeAutospacing="1" w:after="100" w:afterAutospacing="1"/>
              <w:rPr>
                <w:sz w:val="22"/>
                <w:szCs w:val="22"/>
                <w:lang w:eastAsia="en-US"/>
              </w:rPr>
            </w:pPr>
            <w:r>
              <w:rPr>
                <w:rStyle w:val="Enfasigrassetto"/>
                <w:sz w:val="22"/>
                <w:szCs w:val="22"/>
                <w:lang w:eastAsia="en-US"/>
              </w:rPr>
              <w:t>Visa/</w:t>
            </w:r>
            <w:proofErr w:type="spellStart"/>
            <w:r>
              <w:rPr>
                <w:rStyle w:val="Enfasigrassetto"/>
                <w:sz w:val="22"/>
                <w:szCs w:val="22"/>
                <w:lang w:eastAsia="en-US"/>
              </w:rPr>
              <w:t>Mastercard</w:t>
            </w:r>
            <w:proofErr w:type="spellEnd"/>
            <w:r>
              <w:rPr>
                <w:rStyle w:val="Enfasigrassetto"/>
                <w:sz w:val="22"/>
                <w:szCs w:val="22"/>
                <w:lang w:eastAsia="en-US"/>
              </w:rPr>
              <w:t xml:space="preserve"> %......</w:t>
            </w:r>
          </w:p>
          <w:p w:rsidR="00AC164D" w:rsidRDefault="00AC164D" w:rsidP="00AC164D">
            <w:pPr>
              <w:numPr>
                <w:ilvl w:val="0"/>
                <w:numId w:val="19"/>
              </w:numPr>
              <w:spacing w:before="100" w:beforeAutospacing="1" w:after="100" w:afterAutospacing="1"/>
              <w:rPr>
                <w:sz w:val="22"/>
                <w:szCs w:val="22"/>
                <w:lang w:eastAsia="en-US"/>
              </w:rPr>
            </w:pPr>
            <w:r>
              <w:rPr>
                <w:rStyle w:val="Enfasigrassetto"/>
                <w:sz w:val="22"/>
                <w:szCs w:val="22"/>
                <w:lang w:eastAsia="en-US"/>
              </w:rPr>
              <w:t>Maestro %.......</w:t>
            </w:r>
          </w:p>
          <w:p w:rsidR="00AC164D" w:rsidRDefault="00AC164D" w:rsidP="00AC164D">
            <w:pPr>
              <w:numPr>
                <w:ilvl w:val="0"/>
                <w:numId w:val="19"/>
              </w:numPr>
              <w:spacing w:before="100" w:beforeAutospacing="1" w:after="100" w:afterAutospacing="1"/>
              <w:rPr>
                <w:sz w:val="22"/>
                <w:szCs w:val="22"/>
                <w:lang w:eastAsia="en-US"/>
              </w:rPr>
            </w:pPr>
            <w:proofErr w:type="spellStart"/>
            <w:r>
              <w:rPr>
                <w:rStyle w:val="Enfasigrassetto"/>
                <w:sz w:val="22"/>
                <w:szCs w:val="22"/>
                <w:lang w:eastAsia="en-US"/>
              </w:rPr>
              <w:t>Pagobancomat</w:t>
            </w:r>
            <w:proofErr w:type="spellEnd"/>
            <w:r>
              <w:rPr>
                <w:rStyle w:val="Enfasigrassetto"/>
                <w:sz w:val="22"/>
                <w:szCs w:val="22"/>
                <w:lang w:eastAsia="en-US"/>
              </w:rPr>
              <w:t xml:space="preserve"> %.......</w:t>
            </w:r>
          </w:p>
          <w:p w:rsidR="00AC164D" w:rsidRDefault="00AC164D" w:rsidP="00AC164D">
            <w:pPr>
              <w:numPr>
                <w:ilvl w:val="0"/>
                <w:numId w:val="19"/>
              </w:numPr>
              <w:spacing w:before="100" w:beforeAutospacing="1" w:after="100" w:afterAutospacing="1"/>
              <w:rPr>
                <w:sz w:val="22"/>
                <w:szCs w:val="22"/>
                <w:lang w:eastAsia="en-US"/>
              </w:rPr>
            </w:pPr>
            <w:r>
              <w:rPr>
                <w:rStyle w:val="Enfasigrassetto"/>
                <w:sz w:val="22"/>
                <w:szCs w:val="22"/>
                <w:lang w:eastAsia="en-US"/>
              </w:rPr>
              <w:t>America Express %......</w:t>
            </w:r>
          </w:p>
          <w:p w:rsidR="00AC164D" w:rsidRDefault="00AC164D">
            <w:pPr>
              <w:pStyle w:val="NormaleWeb"/>
              <w:rPr>
                <w:sz w:val="22"/>
                <w:szCs w:val="22"/>
                <w:lang w:eastAsia="en-US"/>
              </w:rPr>
            </w:pPr>
            <w:r>
              <w:rPr>
                <w:rStyle w:val="Enfasicorsivo"/>
                <w:sz w:val="22"/>
                <w:szCs w:val="22"/>
                <w:lang w:eastAsia="en-US"/>
              </w:rPr>
              <w:t> </w:t>
            </w:r>
          </w:p>
        </w:tc>
        <w:tc>
          <w:tcPr>
            <w:tcW w:w="1104" w:type="dxa"/>
            <w:vAlign w:val="center"/>
            <w:hideMark/>
          </w:tcPr>
          <w:p w:rsidR="00AC164D" w:rsidRDefault="00AC164D">
            <w:pPr>
              <w:pStyle w:val="NormaleWeb"/>
              <w:rPr>
                <w:sz w:val="22"/>
                <w:szCs w:val="22"/>
                <w:lang w:eastAsia="en-US"/>
              </w:rPr>
            </w:pPr>
            <w:r>
              <w:rPr>
                <w:sz w:val="22"/>
                <w:szCs w:val="22"/>
                <w:lang w:eastAsia="en-US"/>
              </w:rPr>
              <w:t>2</w:t>
            </w:r>
          </w:p>
        </w:tc>
        <w:tc>
          <w:tcPr>
            <w:tcW w:w="1116" w:type="dxa"/>
            <w:vAlign w:val="center"/>
            <w:hideMark/>
          </w:tcPr>
          <w:p w:rsidR="00AC164D" w:rsidRDefault="00AC164D">
            <w:pPr>
              <w:pStyle w:val="NormaleWeb"/>
              <w:rPr>
                <w:sz w:val="22"/>
                <w:szCs w:val="22"/>
                <w:lang w:eastAsia="en-US"/>
              </w:rPr>
            </w:pPr>
            <w:r>
              <w:rPr>
                <w:sz w:val="22"/>
                <w:szCs w:val="22"/>
                <w:lang w:eastAsia="en-US"/>
              </w:rPr>
              <w:t>8</w:t>
            </w:r>
          </w:p>
        </w:tc>
      </w:tr>
    </w:tbl>
    <w:p w:rsidR="00AC164D" w:rsidRDefault="00AC164D" w:rsidP="008D1C7B">
      <w:pPr>
        <w:pStyle w:val="NormaleWeb"/>
      </w:pPr>
      <w:r>
        <w:t> </w:t>
      </w:r>
      <w:r w:rsidR="00E33EA4">
        <w:pict>
          <v:rect id="_x0000_i1025" style="width:481.9pt;height:.75pt" o:hralign="center" o:hrstd="t" o:hr="t" fillcolor="#aca899" stroked="f"/>
        </w:pict>
      </w:r>
    </w:p>
    <w:p w:rsidR="00AC164D" w:rsidRDefault="00E33EA4" w:rsidP="00AC164D">
      <w:pPr>
        <w:pStyle w:val="NormaleWeb"/>
        <w:jc w:val="both"/>
      </w:pPr>
      <w:hyperlink r:id="rId5" w:anchor="_ftnref1" w:history="1">
        <w:r w:rsidR="00AC164D">
          <w:rPr>
            <w:rStyle w:val="Collegamentoipertestuale"/>
          </w:rPr>
          <w:t>[1]</w:t>
        </w:r>
      </w:hyperlink>
      <w:r w:rsidR="00AC164D">
        <w:t xml:space="preserve"> Limitatamente all’esercizio in corso il valore cui riferirsi per il calcolo dei tre dodicesimi è costituito dalla dotazione ordinaria del 2013 evidenziata nella comunicazione del MIUR Protocollo 8110 del 17 dicembre 2012 e successive integrazioni per il periodo settembre dicembre 2013</w:t>
      </w:r>
    </w:p>
    <w:p w:rsidR="00AC164D" w:rsidRDefault="00E33EA4" w:rsidP="00AC164D">
      <w:pPr>
        <w:pStyle w:val="NormaleWeb"/>
        <w:jc w:val="both"/>
      </w:pPr>
      <w:hyperlink r:id="rId6" w:anchor="_ftnref2" w:history="1">
        <w:r w:rsidR="00AC164D">
          <w:rPr>
            <w:rStyle w:val="Collegamentoipertestuale"/>
          </w:rPr>
          <w:t>[2]</w:t>
        </w:r>
      </w:hyperlink>
      <w:r w:rsidR="00AC164D">
        <w:t xml:space="preserve"> Limitatamente all’esercizio in corso il valore cui riferirsi per il calcolo dei nove dodicesimi è costituito dalla dotazione ordinaria del 2013 evidenziata nella comunicazione del MIUR Protocollo 8110 del 17 dicembre 2012 e successive integrazioni per il periodo settembre dicembre 2013..</w:t>
      </w:r>
    </w:p>
    <w:p w:rsidR="00AC164D" w:rsidRDefault="00E33EA4" w:rsidP="00AC164D">
      <w:pPr>
        <w:pStyle w:val="NormaleWeb"/>
        <w:jc w:val="both"/>
      </w:pPr>
      <w:hyperlink r:id="rId7" w:anchor="_ftnref3" w:history="1">
        <w:r w:rsidR="00AC164D">
          <w:rPr>
            <w:rStyle w:val="Collegamentoipertestuale"/>
          </w:rPr>
          <w:t>[3]</w:t>
        </w:r>
      </w:hyperlink>
      <w:r w:rsidR="00AC164D">
        <w:t xml:space="preserve"> , </w:t>
      </w:r>
      <w:proofErr w:type="spellStart"/>
      <w:r w:rsidR="00AC164D">
        <w:t>Limitamente</w:t>
      </w:r>
      <w:proofErr w:type="spellEnd"/>
      <w:r w:rsidR="00AC164D">
        <w:t xml:space="preserve"> all’esercizio in corso il cespite a cui riferirsi per il calcolo dei tre dodicesimi è costituito dalla dotazione ordinaria del 2013 evidenziata nella comunicazione del MIUR Protocollo 8110 del 17 dicembre 2012</w:t>
      </w:r>
    </w:p>
    <w:p w:rsidR="00AC164D" w:rsidRDefault="00E33EA4" w:rsidP="00AC164D">
      <w:pPr>
        <w:pStyle w:val="NormaleWeb"/>
        <w:jc w:val="both"/>
      </w:pPr>
      <w:hyperlink r:id="rId8" w:anchor="_ftnref4" w:history="1">
        <w:r w:rsidR="00AC164D">
          <w:rPr>
            <w:rStyle w:val="Collegamentoipertestuale"/>
          </w:rPr>
          <w:t>[4]</w:t>
        </w:r>
      </w:hyperlink>
      <w:r w:rsidR="00AC164D">
        <w:t xml:space="preserve"> , </w:t>
      </w:r>
      <w:proofErr w:type="spellStart"/>
      <w:r w:rsidR="00AC164D">
        <w:t>Limitamente</w:t>
      </w:r>
      <w:proofErr w:type="spellEnd"/>
      <w:r w:rsidR="00AC164D">
        <w:t xml:space="preserve"> all’esercizio in corso il cespite a cui riferirsi per il calcolo dei tre dodicesimi è costituito dalla dotazione ordinaria del 2013 evidenziata nella comunicazione del MIUR Protocollo 8110 del 17 dicembre 2012</w:t>
      </w:r>
    </w:p>
    <w:p w:rsidR="00AC164D" w:rsidRDefault="00AC164D" w:rsidP="00AC164D">
      <w:pPr>
        <w:jc w:val="both"/>
      </w:pPr>
    </w:p>
    <w:p w:rsidR="00FE59EA" w:rsidRDefault="00FE59EA" w:rsidP="001C66B5"/>
    <w:sectPr w:rsidR="00FE59EA" w:rsidSect="001C66B5">
      <w:pgSz w:w="11906" w:h="16838"/>
      <w:pgMar w:top="39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C70"/>
    <w:multiLevelType w:val="hybridMultilevel"/>
    <w:tmpl w:val="C832B366"/>
    <w:lvl w:ilvl="0" w:tplc="3778715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543F3A"/>
    <w:multiLevelType w:val="hybridMultilevel"/>
    <w:tmpl w:val="9D74F896"/>
    <w:lvl w:ilvl="0" w:tplc="A5ECDB5C">
      <w:start w:val="1"/>
      <w:numFmt w:val="decimal"/>
      <w:lvlText w:val="%1)"/>
      <w:lvlJc w:val="left"/>
      <w:pPr>
        <w:ind w:left="720" w:hanging="360"/>
      </w:pPr>
      <w:rPr>
        <w:rFonts w:ascii="Arial" w:hAnsi="Arial" w:cs="Arial" w:hint="default"/>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5343165"/>
    <w:multiLevelType w:val="multilevel"/>
    <w:tmpl w:val="6728D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1805C2B"/>
    <w:multiLevelType w:val="hybridMultilevel"/>
    <w:tmpl w:val="6DD4D4D8"/>
    <w:lvl w:ilvl="0" w:tplc="6164A92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0A7B51"/>
    <w:multiLevelType w:val="hybridMultilevel"/>
    <w:tmpl w:val="A4BA03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E6B7216"/>
    <w:multiLevelType w:val="hybridMultilevel"/>
    <w:tmpl w:val="9D74F896"/>
    <w:lvl w:ilvl="0" w:tplc="A5ECDB5C">
      <w:start w:val="1"/>
      <w:numFmt w:val="decimal"/>
      <w:lvlText w:val="%1)"/>
      <w:lvlJc w:val="left"/>
      <w:pPr>
        <w:ind w:left="720" w:hanging="360"/>
      </w:pPr>
      <w:rPr>
        <w:rFonts w:ascii="Arial" w:hAnsi="Arial" w:cs="Arial" w:hint="default"/>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3C136638"/>
    <w:multiLevelType w:val="hybridMultilevel"/>
    <w:tmpl w:val="9FD682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4A106BA"/>
    <w:multiLevelType w:val="hybridMultilevel"/>
    <w:tmpl w:val="F2F66894"/>
    <w:lvl w:ilvl="0" w:tplc="75C44A7C">
      <w:start w:val="1"/>
      <w:numFmt w:val="decimal"/>
      <w:lvlText w:val="%1"/>
      <w:lvlJc w:val="left"/>
      <w:pPr>
        <w:ind w:left="720" w:hanging="360"/>
      </w:pPr>
      <w:rPr>
        <w:rFonts w:ascii="Times New Roman" w:eastAsia="MS Mincho"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96866D0"/>
    <w:multiLevelType w:val="hybridMultilevel"/>
    <w:tmpl w:val="1DCC634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D524CBE"/>
    <w:multiLevelType w:val="hybridMultilevel"/>
    <w:tmpl w:val="211809B6"/>
    <w:lvl w:ilvl="0" w:tplc="8550B63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B06F09"/>
    <w:multiLevelType w:val="hybridMultilevel"/>
    <w:tmpl w:val="041875BC"/>
    <w:lvl w:ilvl="0" w:tplc="F48E82E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nsid w:val="65E97B54"/>
    <w:multiLevelType w:val="hybridMultilevel"/>
    <w:tmpl w:val="BD8E8E9E"/>
    <w:lvl w:ilvl="0" w:tplc="8550B638">
      <w:numFmt w:val="bullet"/>
      <w:lvlText w:val="-"/>
      <w:lvlJc w:val="left"/>
      <w:pPr>
        <w:ind w:left="1428" w:hanging="360"/>
      </w:pPr>
      <w:rPr>
        <w:rFonts w:ascii="Times New Roman" w:eastAsia="MS Mincho"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68C05E7D"/>
    <w:multiLevelType w:val="hybridMultilevel"/>
    <w:tmpl w:val="1F22DD0C"/>
    <w:lvl w:ilvl="0" w:tplc="C55CEA5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9041C38"/>
    <w:multiLevelType w:val="hybridMultilevel"/>
    <w:tmpl w:val="AFF6023A"/>
    <w:lvl w:ilvl="0" w:tplc="EAAAFF5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0062C2"/>
    <w:multiLevelType w:val="hybridMultilevel"/>
    <w:tmpl w:val="F668ADC2"/>
    <w:lvl w:ilvl="0" w:tplc="66D6A9A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7350DA5"/>
    <w:multiLevelType w:val="hybridMultilevel"/>
    <w:tmpl w:val="E6A00F92"/>
    <w:lvl w:ilvl="0" w:tplc="1EDA05B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E027951"/>
    <w:multiLevelType w:val="hybridMultilevel"/>
    <w:tmpl w:val="D174C92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7FD202E2"/>
    <w:multiLevelType w:val="hybridMultilevel"/>
    <w:tmpl w:val="177E98F4"/>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0"/>
  </w:num>
  <w:num w:numId="2">
    <w:abstractNumId w:val="7"/>
  </w:num>
  <w:num w:numId="3">
    <w:abstractNumId w:val="13"/>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9"/>
  </w:num>
  <w:num w:numId="11">
    <w:abstractNumId w:val="11"/>
  </w:num>
  <w:num w:numId="12">
    <w:abstractNumId w:val="0"/>
  </w:num>
  <w:num w:numId="13">
    <w:abstractNumId w:val="15"/>
  </w:num>
  <w:num w:numId="14">
    <w:abstractNumId w:val="3"/>
  </w:num>
  <w:num w:numId="15">
    <w:abstractNumId w:val="12"/>
  </w:num>
  <w:num w:numId="16">
    <w:abstractNumId w:val="8"/>
  </w:num>
  <w:num w:numId="17">
    <w:abstractNumId w:val="4"/>
  </w:num>
  <w:num w:numId="18">
    <w:abstractNumId w:val="1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compat>
    <w:useFELayout/>
  </w:compat>
  <w:rsids>
    <w:rsidRoot w:val="00457607"/>
    <w:rsid w:val="00030F23"/>
    <w:rsid w:val="00066ADD"/>
    <w:rsid w:val="00066F4A"/>
    <w:rsid w:val="00070E4F"/>
    <w:rsid w:val="000B050D"/>
    <w:rsid w:val="000B696B"/>
    <w:rsid w:val="000B77C8"/>
    <w:rsid w:val="001617D1"/>
    <w:rsid w:val="0017361A"/>
    <w:rsid w:val="001C66B5"/>
    <w:rsid w:val="001E1DF3"/>
    <w:rsid w:val="0024636A"/>
    <w:rsid w:val="00267F9B"/>
    <w:rsid w:val="00293B94"/>
    <w:rsid w:val="002D4074"/>
    <w:rsid w:val="002F32F4"/>
    <w:rsid w:val="00305F6F"/>
    <w:rsid w:val="003152BE"/>
    <w:rsid w:val="00315BB5"/>
    <w:rsid w:val="00315D62"/>
    <w:rsid w:val="003334F9"/>
    <w:rsid w:val="00357060"/>
    <w:rsid w:val="00365B8F"/>
    <w:rsid w:val="0038351E"/>
    <w:rsid w:val="00387782"/>
    <w:rsid w:val="003B3E31"/>
    <w:rsid w:val="003D7CC2"/>
    <w:rsid w:val="003E35E6"/>
    <w:rsid w:val="003F7660"/>
    <w:rsid w:val="00457607"/>
    <w:rsid w:val="004B50D0"/>
    <w:rsid w:val="004C5240"/>
    <w:rsid w:val="004D49F7"/>
    <w:rsid w:val="00543BD3"/>
    <w:rsid w:val="00552C5D"/>
    <w:rsid w:val="005658FE"/>
    <w:rsid w:val="005E3198"/>
    <w:rsid w:val="00657234"/>
    <w:rsid w:val="00690095"/>
    <w:rsid w:val="006929C5"/>
    <w:rsid w:val="006B2849"/>
    <w:rsid w:val="006E610C"/>
    <w:rsid w:val="00706A79"/>
    <w:rsid w:val="0076439B"/>
    <w:rsid w:val="007746AA"/>
    <w:rsid w:val="007A7FA2"/>
    <w:rsid w:val="007E5576"/>
    <w:rsid w:val="007F5749"/>
    <w:rsid w:val="008140A6"/>
    <w:rsid w:val="008170DB"/>
    <w:rsid w:val="0085526D"/>
    <w:rsid w:val="00875AA2"/>
    <w:rsid w:val="008A0625"/>
    <w:rsid w:val="008D1C7B"/>
    <w:rsid w:val="008E14C6"/>
    <w:rsid w:val="00994CD5"/>
    <w:rsid w:val="00A27550"/>
    <w:rsid w:val="00A57F30"/>
    <w:rsid w:val="00A625A8"/>
    <w:rsid w:val="00A674D3"/>
    <w:rsid w:val="00AB4F75"/>
    <w:rsid w:val="00AC103B"/>
    <w:rsid w:val="00AC164D"/>
    <w:rsid w:val="00AC3BDD"/>
    <w:rsid w:val="00AC4D57"/>
    <w:rsid w:val="00AC5942"/>
    <w:rsid w:val="00AD3504"/>
    <w:rsid w:val="00AE77C2"/>
    <w:rsid w:val="00B045D4"/>
    <w:rsid w:val="00B1626F"/>
    <w:rsid w:val="00B5749E"/>
    <w:rsid w:val="00BA327F"/>
    <w:rsid w:val="00BE7D2B"/>
    <w:rsid w:val="00BF27BE"/>
    <w:rsid w:val="00BF7A5F"/>
    <w:rsid w:val="00C371BD"/>
    <w:rsid w:val="00C55FA0"/>
    <w:rsid w:val="00CA3CE5"/>
    <w:rsid w:val="00CC4D19"/>
    <w:rsid w:val="00CE15CD"/>
    <w:rsid w:val="00D40A76"/>
    <w:rsid w:val="00DC16DB"/>
    <w:rsid w:val="00E10CE4"/>
    <w:rsid w:val="00E233DE"/>
    <w:rsid w:val="00E33EA4"/>
    <w:rsid w:val="00E44E87"/>
    <w:rsid w:val="00E60DAC"/>
    <w:rsid w:val="00E633BA"/>
    <w:rsid w:val="00E837F3"/>
    <w:rsid w:val="00F25BD8"/>
    <w:rsid w:val="00F47E0C"/>
    <w:rsid w:val="00F9413B"/>
    <w:rsid w:val="00FE59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33EA4"/>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F7A5F"/>
    <w:rPr>
      <w:color w:val="0000FF"/>
      <w:u w:val="single"/>
    </w:rPr>
  </w:style>
  <w:style w:type="paragraph" w:styleId="Paragrafoelenco">
    <w:name w:val="List Paragraph"/>
    <w:basedOn w:val="Normale"/>
    <w:uiPriority w:val="34"/>
    <w:qFormat/>
    <w:rsid w:val="0024636A"/>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24636A"/>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3152BE"/>
    <w:rPr>
      <w:rFonts w:ascii="Tahoma" w:hAnsi="Tahoma" w:cs="Tahoma"/>
      <w:sz w:val="16"/>
      <w:szCs w:val="16"/>
    </w:rPr>
  </w:style>
  <w:style w:type="character" w:customStyle="1" w:styleId="TestofumettoCarattere">
    <w:name w:val="Testo fumetto Carattere"/>
    <w:basedOn w:val="Carpredefinitoparagrafo"/>
    <w:link w:val="Testofumetto"/>
    <w:rsid w:val="003152BE"/>
    <w:rPr>
      <w:rFonts w:ascii="Tahoma" w:hAnsi="Tahoma" w:cs="Tahoma"/>
      <w:sz w:val="16"/>
      <w:szCs w:val="16"/>
      <w:lang w:eastAsia="ja-JP"/>
    </w:rPr>
  </w:style>
  <w:style w:type="paragraph" w:styleId="NormaleWeb">
    <w:name w:val="Normal (Web)"/>
    <w:basedOn w:val="Normale"/>
    <w:uiPriority w:val="99"/>
    <w:unhideWhenUsed/>
    <w:rsid w:val="00AC164D"/>
    <w:pPr>
      <w:spacing w:before="100" w:beforeAutospacing="1" w:after="100" w:afterAutospacing="1"/>
    </w:pPr>
    <w:rPr>
      <w:rFonts w:eastAsia="Calibri"/>
      <w:lang w:eastAsia="it-IT"/>
    </w:rPr>
  </w:style>
  <w:style w:type="character" w:styleId="Enfasigrassetto">
    <w:name w:val="Strong"/>
    <w:basedOn w:val="Carpredefinitoparagrafo"/>
    <w:uiPriority w:val="22"/>
    <w:qFormat/>
    <w:rsid w:val="00AC164D"/>
    <w:rPr>
      <w:b/>
      <w:bCs/>
    </w:rPr>
  </w:style>
  <w:style w:type="character" w:styleId="Enfasicorsivo">
    <w:name w:val="Emphasis"/>
    <w:basedOn w:val="Carpredefinitoparagrafo"/>
    <w:uiPriority w:val="20"/>
    <w:qFormat/>
    <w:rsid w:val="00AC164D"/>
    <w:rPr>
      <w:i/>
      <w:iCs/>
    </w:rPr>
  </w:style>
</w:styles>
</file>

<file path=word/webSettings.xml><?xml version="1.0" encoding="utf-8"?>
<w:webSettings xmlns:r="http://schemas.openxmlformats.org/officeDocument/2006/relationships" xmlns:w="http://schemas.openxmlformats.org/wordprocessingml/2006/main">
  <w:divs>
    <w:div w:id="190188307">
      <w:bodyDiv w:val="1"/>
      <w:marLeft w:val="0"/>
      <w:marRight w:val="0"/>
      <w:marTop w:val="0"/>
      <w:marBottom w:val="0"/>
      <w:divBdr>
        <w:top w:val="none" w:sz="0" w:space="0" w:color="auto"/>
        <w:left w:val="none" w:sz="0" w:space="0" w:color="auto"/>
        <w:bottom w:val="none" w:sz="0" w:space="0" w:color="auto"/>
        <w:right w:val="none" w:sz="0" w:space="0" w:color="auto"/>
      </w:divBdr>
    </w:div>
    <w:div w:id="927035531">
      <w:bodyDiv w:val="1"/>
      <w:marLeft w:val="0"/>
      <w:marRight w:val="0"/>
      <w:marTop w:val="0"/>
      <w:marBottom w:val="0"/>
      <w:divBdr>
        <w:top w:val="none" w:sz="0" w:space="0" w:color="auto"/>
        <w:left w:val="none" w:sz="0" w:space="0" w:color="auto"/>
        <w:bottom w:val="none" w:sz="0" w:space="0" w:color="auto"/>
        <w:right w:val="none" w:sz="0" w:space="0" w:color="auto"/>
      </w:divBdr>
    </w:div>
    <w:div w:id="212850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Desktop\bando%20convenzione%20cassa%20Word\Allegato%201%202%203%204.docx" TargetMode="External"/><Relationship Id="rId3" Type="http://schemas.openxmlformats.org/officeDocument/2006/relationships/settings" Target="settings.xml"/><Relationship Id="rId7" Type="http://schemas.openxmlformats.org/officeDocument/2006/relationships/hyperlink" Target="file:///C:\Documents%20and%20Settings\User\Desktop\bando%20convenzione%20cassa%20Word\Allegato%201%202%203%20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User\Desktop\bando%20convenzione%20cassa%20Word\Allegato%201%202%203%204.docx" TargetMode="External"/><Relationship Id="rId5" Type="http://schemas.openxmlformats.org/officeDocument/2006/relationships/hyperlink" Target="file:///C:\Documents%20and%20Settings\User\Desktop\bando%20convenzione%20cassa%20Word\Allegato%201%202%203%204.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user</cp:lastModifiedBy>
  <cp:revision>3</cp:revision>
  <cp:lastPrinted>2015-10-10T12:28:00Z</cp:lastPrinted>
  <dcterms:created xsi:type="dcterms:W3CDTF">2016-01-05T08:37:00Z</dcterms:created>
  <dcterms:modified xsi:type="dcterms:W3CDTF">2016-01-08T11:18:00Z</dcterms:modified>
</cp:coreProperties>
</file>